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6147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RT-qPCR Analysis Workflow</w:t>
      </w:r>
    </w:p>
    <w:p w14:paraId="3967D7A1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Overview</w:t>
      </w:r>
    </w:p>
    <w:p w14:paraId="5FC81879" w14:textId="77777777" w:rsidR="005849FB" w:rsidRPr="005849FB" w:rsidRDefault="005849FB" w:rsidP="005849FB">
      <w:r w:rsidRPr="005849FB">
        <w:t>This analysis workflow is intentionally separated into two independent components:</w:t>
      </w:r>
    </w:p>
    <w:p w14:paraId="1A5FC3C2" w14:textId="6AE53EB7" w:rsidR="005849FB" w:rsidRPr="005849FB" w:rsidRDefault="005849FB" w:rsidP="005849FB">
      <w:pPr>
        <w:numPr>
          <w:ilvl w:val="0"/>
          <w:numId w:val="1"/>
        </w:numPr>
      </w:pPr>
      <w:r w:rsidRPr="005849FB">
        <w:rPr>
          <w:b/>
          <w:bCs/>
        </w:rPr>
        <w:t>Descriptive analysis using the classical ΔΔCt workflow</w:t>
      </w:r>
      <w:r w:rsidRPr="005849FB">
        <w:t xml:space="preserve"> </w:t>
      </w:r>
    </w:p>
    <w:p w14:paraId="66E5AF3C" w14:textId="77777777" w:rsidR="005849FB" w:rsidRPr="005849FB" w:rsidRDefault="005849FB" w:rsidP="005849FB">
      <w:pPr>
        <w:numPr>
          <w:ilvl w:val="0"/>
          <w:numId w:val="1"/>
        </w:numPr>
      </w:pPr>
      <w:r w:rsidRPr="005849FB">
        <w:rPr>
          <w:b/>
          <w:bCs/>
        </w:rPr>
        <w:t>Statistical modelling performed directly on ΔCt values</w:t>
      </w:r>
      <w:r w:rsidRPr="005849FB">
        <w:t xml:space="preserve"> </w:t>
      </w:r>
    </w:p>
    <w:p w14:paraId="14806EC3" w14:textId="77777777" w:rsidR="005849FB" w:rsidRPr="005849FB" w:rsidRDefault="005849FB" w:rsidP="005849FB">
      <w:r w:rsidRPr="005849FB">
        <w:t>This separation reflects the distinction between:</w:t>
      </w:r>
    </w:p>
    <w:p w14:paraId="1E25D9C7" w14:textId="77777777" w:rsidR="005849FB" w:rsidRPr="005849FB" w:rsidRDefault="005849FB" w:rsidP="005849FB">
      <w:pPr>
        <w:numPr>
          <w:ilvl w:val="0"/>
          <w:numId w:val="2"/>
        </w:numPr>
      </w:pPr>
      <w:r w:rsidRPr="005849FB">
        <w:t xml:space="preserve">presenting observed expression differences using the commonly reported fold-change approach; and </w:t>
      </w:r>
    </w:p>
    <w:p w14:paraId="2D205DD8" w14:textId="77777777" w:rsidR="005849FB" w:rsidRPr="005849FB" w:rsidRDefault="005849FB" w:rsidP="005849FB">
      <w:pPr>
        <w:numPr>
          <w:ilvl w:val="0"/>
          <w:numId w:val="2"/>
        </w:numPr>
      </w:pPr>
      <w:r w:rsidRPr="005849FB">
        <w:t xml:space="preserve">performing statistical inference using a model appropriate for hypothesis testing. </w:t>
      </w:r>
    </w:p>
    <w:p w14:paraId="4DBCE3EF" w14:textId="77777777" w:rsidR="005849FB" w:rsidRPr="005849FB" w:rsidRDefault="00000000" w:rsidP="005849FB">
      <w:r>
        <w:pict w14:anchorId="1E912966">
          <v:rect id="_x0000_i1025" style="width:0;height:1.5pt" o:hralign="center" o:hrstd="t" o:hr="t" fillcolor="#a0a0a0" stroked="f"/>
        </w:pict>
      </w:r>
    </w:p>
    <w:p w14:paraId="62813811" w14:textId="15372380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 xml:space="preserve">Script </w:t>
      </w:r>
      <w:r>
        <w:rPr>
          <w:b/>
          <w:bCs/>
        </w:rPr>
        <w:t xml:space="preserve">Part </w:t>
      </w:r>
      <w:r w:rsidRPr="005849FB">
        <w:rPr>
          <w:b/>
          <w:bCs/>
        </w:rPr>
        <w:t>1: Descriptive ΔΔCt Calculations</w:t>
      </w:r>
    </w:p>
    <w:p w14:paraId="1250C1C4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Purpose</w:t>
      </w:r>
    </w:p>
    <w:p w14:paraId="3F262AA9" w14:textId="20008768" w:rsidR="005849FB" w:rsidRPr="005849FB" w:rsidRDefault="005849FB" w:rsidP="005849FB">
      <w:r w:rsidRPr="005849FB">
        <w:t>This script reproduces the traditional ΔΔCt workflow commonly used for RT-qPCR experiments.</w:t>
      </w:r>
    </w:p>
    <w:p w14:paraId="363F608C" w14:textId="77777777" w:rsidR="005849FB" w:rsidRPr="005849FB" w:rsidRDefault="005849FB" w:rsidP="005849FB">
      <w:r w:rsidRPr="005849FB">
        <w:t>The purpose of this analysis is to:</w:t>
      </w:r>
    </w:p>
    <w:p w14:paraId="3867BBD1" w14:textId="77777777" w:rsidR="005849FB" w:rsidRPr="005849FB" w:rsidRDefault="005849FB" w:rsidP="005849FB">
      <w:pPr>
        <w:numPr>
          <w:ilvl w:val="0"/>
          <w:numId w:val="3"/>
        </w:numPr>
      </w:pPr>
      <w:r w:rsidRPr="005849FB">
        <w:t xml:space="preserve">calculate descriptive fold-change values; </w:t>
      </w:r>
    </w:p>
    <w:p w14:paraId="7E9D1C69" w14:textId="77777777" w:rsidR="005849FB" w:rsidRPr="005849FB" w:rsidRDefault="005849FB" w:rsidP="005849FB">
      <w:pPr>
        <w:numPr>
          <w:ilvl w:val="0"/>
          <w:numId w:val="3"/>
        </w:numPr>
      </w:pPr>
      <w:r w:rsidRPr="005849FB">
        <w:t xml:space="preserve">summarize observed expression differences; </w:t>
      </w:r>
    </w:p>
    <w:p w14:paraId="6C57E007" w14:textId="77777777" w:rsidR="005849FB" w:rsidRPr="005849FB" w:rsidRDefault="005849FB" w:rsidP="005849FB">
      <w:pPr>
        <w:numPr>
          <w:ilvl w:val="0"/>
          <w:numId w:val="3"/>
        </w:numPr>
      </w:pPr>
      <w:r w:rsidRPr="005849FB">
        <w:t xml:space="preserve">generate visualization of expression patterns. </w:t>
      </w:r>
    </w:p>
    <w:p w14:paraId="023A5E5D" w14:textId="4DFD5C7C" w:rsidR="005849FB" w:rsidRPr="005849FB" w:rsidRDefault="005849FB" w:rsidP="005849FB">
      <w:r w:rsidRPr="005849FB">
        <w:t xml:space="preserve">This script does </w:t>
      </w:r>
      <w:r w:rsidRPr="005849FB">
        <w:rPr>
          <w:b/>
          <w:bCs/>
        </w:rPr>
        <w:t>not</w:t>
      </w:r>
      <w:r w:rsidRPr="005849FB">
        <w:t xml:space="preserve"> perform statistical hypothesis testing.</w:t>
      </w:r>
      <w:r>
        <w:t xml:space="preserve"> It also cannot account for interaction effects.</w:t>
      </w:r>
    </w:p>
    <w:p w14:paraId="1442C5F8" w14:textId="4C4666DA" w:rsidR="005849FB" w:rsidRPr="005849FB" w:rsidRDefault="005849FB" w:rsidP="005849FB">
      <w:r w:rsidRPr="005849FB">
        <w:t xml:space="preserve">All uncertainty estimates generated within this workflow represent </w:t>
      </w:r>
      <w:r>
        <w:t xml:space="preserve">biological </w:t>
      </w:r>
      <w:r w:rsidRPr="005849FB">
        <w:t xml:space="preserve">variability in the observed ΔΔCt values and should </w:t>
      </w:r>
      <w:r w:rsidRPr="005849FB">
        <w:rPr>
          <w:b/>
          <w:bCs/>
        </w:rPr>
        <w:t>not</w:t>
      </w:r>
      <w:r w:rsidRPr="005849FB">
        <w:t xml:space="preserve"> be interpreted as statistical confidence intervals</w:t>
      </w:r>
      <w:r>
        <w:t>, because it does not correct for sample size</w:t>
      </w:r>
      <w:r w:rsidRPr="005849FB">
        <w:t>.</w:t>
      </w:r>
    </w:p>
    <w:p w14:paraId="60B166B4" w14:textId="2856FA0F" w:rsidR="005849FB" w:rsidRPr="005849FB" w:rsidRDefault="005849FB" w:rsidP="005849FB">
      <w:r w:rsidRPr="005849FB">
        <w:t xml:space="preserve">Formal statistical inference is performed in Script </w:t>
      </w:r>
      <w:r>
        <w:t xml:space="preserve">Part </w:t>
      </w:r>
      <w:r w:rsidRPr="005849FB">
        <w:t>2.</w:t>
      </w:r>
    </w:p>
    <w:p w14:paraId="10BDED4C" w14:textId="77777777" w:rsidR="005849FB" w:rsidRPr="005849FB" w:rsidRDefault="00000000" w:rsidP="005849FB">
      <w:r>
        <w:pict w14:anchorId="41EDFAA2">
          <v:rect id="_x0000_i1026" style="width:0;height:1.5pt" o:hralign="center" o:hrstd="t" o:hr="t" fillcolor="#a0a0a0" stroked="f"/>
        </w:pict>
      </w:r>
    </w:p>
    <w:p w14:paraId="61453148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Descriptive Workflow</w:t>
      </w:r>
    </w:p>
    <w:p w14:paraId="36808B99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Step 1: Import RT-qPCR Dataset</w:t>
      </w:r>
    </w:p>
    <w:p w14:paraId="7C782A65" w14:textId="77777777" w:rsidR="005849FB" w:rsidRPr="005849FB" w:rsidRDefault="005849FB" w:rsidP="005849FB">
      <w:r w:rsidRPr="005849FB">
        <w:t>The dataset contains the following experimental variables:</w:t>
      </w:r>
    </w:p>
    <w:p w14:paraId="28FF5F47" w14:textId="77777777" w:rsidR="005849FB" w:rsidRPr="005849FB" w:rsidRDefault="005849FB" w:rsidP="005849FB">
      <w:pPr>
        <w:numPr>
          <w:ilvl w:val="0"/>
          <w:numId w:val="4"/>
        </w:numPr>
      </w:pPr>
      <w:r w:rsidRPr="005849FB">
        <w:rPr>
          <w:b/>
          <w:bCs/>
        </w:rPr>
        <w:t>Experiment</w:t>
      </w:r>
      <w:r w:rsidRPr="005849FB">
        <w:t xml:space="preserve">: independent experimental run </w:t>
      </w:r>
    </w:p>
    <w:p w14:paraId="67F6E090" w14:textId="77777777" w:rsidR="005849FB" w:rsidRPr="005849FB" w:rsidRDefault="005849FB" w:rsidP="005849FB">
      <w:pPr>
        <w:numPr>
          <w:ilvl w:val="0"/>
          <w:numId w:val="4"/>
        </w:numPr>
      </w:pPr>
      <w:r w:rsidRPr="005849FB">
        <w:rPr>
          <w:b/>
          <w:bCs/>
        </w:rPr>
        <w:lastRenderedPageBreak/>
        <w:t>Treatment</w:t>
      </w:r>
      <w:r w:rsidRPr="005849FB">
        <w:t xml:space="preserve">: experimental condition (e.g., WT or RNAi) </w:t>
      </w:r>
    </w:p>
    <w:p w14:paraId="0511CFE1" w14:textId="77777777" w:rsidR="005849FB" w:rsidRPr="005849FB" w:rsidRDefault="005849FB" w:rsidP="005849FB">
      <w:pPr>
        <w:numPr>
          <w:ilvl w:val="0"/>
          <w:numId w:val="4"/>
        </w:numPr>
      </w:pPr>
      <w:r w:rsidRPr="005849FB">
        <w:rPr>
          <w:b/>
          <w:bCs/>
        </w:rPr>
        <w:t>Body Part</w:t>
      </w:r>
      <w:r w:rsidRPr="005849FB">
        <w:t xml:space="preserve">: tissue location sampled </w:t>
      </w:r>
    </w:p>
    <w:p w14:paraId="17609CDE" w14:textId="265BCC7D" w:rsidR="005849FB" w:rsidRPr="005849FB" w:rsidRDefault="005849FB" w:rsidP="005849FB">
      <w:pPr>
        <w:numPr>
          <w:ilvl w:val="0"/>
          <w:numId w:val="4"/>
        </w:numPr>
      </w:pPr>
      <w:r w:rsidRPr="005849FB">
        <w:rPr>
          <w:b/>
          <w:bCs/>
        </w:rPr>
        <w:t>ΔCt</w:t>
      </w:r>
      <w:r w:rsidRPr="005849FB">
        <w:t xml:space="preserve">: normalized cycle threshold value </w:t>
      </w:r>
      <w:r>
        <w:t>relative to the housekeeping gene chosen</w:t>
      </w:r>
    </w:p>
    <w:p w14:paraId="706EB7FA" w14:textId="77777777" w:rsidR="005849FB" w:rsidRPr="005849FB" w:rsidRDefault="005849FB" w:rsidP="005849FB">
      <w:r w:rsidRPr="005849FB">
        <w:t>The analysis begins by reading the RT-qPCR dataset into R.</w:t>
      </w:r>
    </w:p>
    <w:p w14:paraId="6294EF06" w14:textId="77777777" w:rsidR="005849FB" w:rsidRPr="005849FB" w:rsidRDefault="00000000" w:rsidP="005849FB">
      <w:r>
        <w:pict w14:anchorId="61B4E4C1">
          <v:rect id="_x0000_i1027" style="width:0;height:1.5pt" o:hralign="center" o:hrstd="t" o:hr="t" fillcolor="#a0a0a0" stroked="f"/>
        </w:pict>
      </w:r>
    </w:p>
    <w:p w14:paraId="06A2A71A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Step 2: Separate Observations by Treatment</w:t>
      </w:r>
    </w:p>
    <w:p w14:paraId="28F155D5" w14:textId="77777777" w:rsidR="005849FB" w:rsidRPr="005849FB" w:rsidRDefault="005849FB" w:rsidP="005849FB">
      <w:r w:rsidRPr="005849FB">
        <w:t>Observations are separated according to treatment group.</w:t>
      </w:r>
    </w:p>
    <w:p w14:paraId="4D76877F" w14:textId="77777777" w:rsidR="005849FB" w:rsidRPr="005849FB" w:rsidRDefault="005849FB" w:rsidP="005849FB">
      <w:r w:rsidRPr="005849FB">
        <w:t>Each treatment is summarized independently before calculating expression differences.</w:t>
      </w:r>
    </w:p>
    <w:p w14:paraId="5738F90A" w14:textId="77777777" w:rsidR="005849FB" w:rsidRPr="005849FB" w:rsidRDefault="005849FB" w:rsidP="005849FB">
      <w:r w:rsidRPr="005849FB">
        <w:t>Example:</w:t>
      </w:r>
    </w:p>
    <w:p w14:paraId="3FB6CFAC" w14:textId="77777777" w:rsidR="005849FB" w:rsidRPr="005849FB" w:rsidRDefault="005849FB" w:rsidP="005849FB">
      <w:r w:rsidRPr="005849FB">
        <w:rPr>
          <w:b/>
          <w:bCs/>
        </w:rPr>
        <w:t>WT</w:t>
      </w:r>
    </w:p>
    <w:p w14:paraId="6349C78F" w14:textId="77777777" w:rsidR="005849FB" w:rsidRPr="005849FB" w:rsidRDefault="005849FB" w:rsidP="005849FB">
      <w:pPr>
        <w:numPr>
          <w:ilvl w:val="0"/>
          <w:numId w:val="5"/>
        </w:numPr>
      </w:pPr>
      <w:r w:rsidRPr="005849FB">
        <w:t xml:space="preserve">Head </w:t>
      </w:r>
    </w:p>
    <w:p w14:paraId="20799D21" w14:textId="77777777" w:rsidR="005849FB" w:rsidRPr="005849FB" w:rsidRDefault="005849FB" w:rsidP="005849FB">
      <w:pPr>
        <w:numPr>
          <w:ilvl w:val="0"/>
          <w:numId w:val="5"/>
        </w:numPr>
      </w:pPr>
      <w:r w:rsidRPr="005849FB">
        <w:t xml:space="preserve">Mid </w:t>
      </w:r>
    </w:p>
    <w:p w14:paraId="748DCF34" w14:textId="77777777" w:rsidR="005849FB" w:rsidRPr="005849FB" w:rsidRDefault="005849FB" w:rsidP="005849FB">
      <w:pPr>
        <w:numPr>
          <w:ilvl w:val="0"/>
          <w:numId w:val="5"/>
        </w:numPr>
      </w:pPr>
      <w:r w:rsidRPr="005849FB">
        <w:t xml:space="preserve">Hind </w:t>
      </w:r>
    </w:p>
    <w:p w14:paraId="7F530462" w14:textId="77777777" w:rsidR="005849FB" w:rsidRPr="005849FB" w:rsidRDefault="005849FB" w:rsidP="005849FB">
      <w:r w:rsidRPr="005849FB">
        <w:rPr>
          <w:b/>
          <w:bCs/>
        </w:rPr>
        <w:t>RNAi</w:t>
      </w:r>
    </w:p>
    <w:p w14:paraId="2EDC259B" w14:textId="77777777" w:rsidR="005849FB" w:rsidRPr="005849FB" w:rsidRDefault="005849FB" w:rsidP="005849FB">
      <w:pPr>
        <w:numPr>
          <w:ilvl w:val="0"/>
          <w:numId w:val="6"/>
        </w:numPr>
      </w:pPr>
      <w:r w:rsidRPr="005849FB">
        <w:t xml:space="preserve">Head </w:t>
      </w:r>
    </w:p>
    <w:p w14:paraId="4E9B647A" w14:textId="77777777" w:rsidR="005849FB" w:rsidRPr="005849FB" w:rsidRDefault="005849FB" w:rsidP="005849FB">
      <w:pPr>
        <w:numPr>
          <w:ilvl w:val="0"/>
          <w:numId w:val="6"/>
        </w:numPr>
      </w:pPr>
      <w:r w:rsidRPr="005849FB">
        <w:t xml:space="preserve">Mid </w:t>
      </w:r>
    </w:p>
    <w:p w14:paraId="3A6A8CDD" w14:textId="77777777" w:rsidR="005849FB" w:rsidRPr="005849FB" w:rsidRDefault="005849FB" w:rsidP="005849FB">
      <w:pPr>
        <w:numPr>
          <w:ilvl w:val="0"/>
          <w:numId w:val="6"/>
        </w:numPr>
      </w:pPr>
      <w:r w:rsidRPr="005849FB">
        <w:t xml:space="preserve">Hind </w:t>
      </w:r>
    </w:p>
    <w:p w14:paraId="24AACD62" w14:textId="77777777" w:rsidR="005849FB" w:rsidRPr="005849FB" w:rsidRDefault="00000000" w:rsidP="005849FB">
      <w:r>
        <w:pict w14:anchorId="73B89A06">
          <v:rect id="_x0000_i1028" style="width:0;height:1.5pt" o:hralign="center" o:hrstd="t" o:hr="t" fillcolor="#a0a0a0" stroked="f"/>
        </w:pict>
      </w:r>
    </w:p>
    <w:p w14:paraId="4795ECF0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Step 3: Calculate Descriptive Statistics</w:t>
      </w:r>
    </w:p>
    <w:p w14:paraId="5DAF7FD6" w14:textId="1E1AA2CD" w:rsidR="005849FB" w:rsidRPr="005849FB" w:rsidRDefault="005849FB" w:rsidP="005849FB">
      <w:r w:rsidRPr="005849FB">
        <w:t>For each Treatment × Body Part combination</w:t>
      </w:r>
      <w:r>
        <w:t xml:space="preserve"> within an experiment</w:t>
      </w:r>
      <w:r w:rsidRPr="005849FB">
        <w:t>, the following statistics are calculated:</w:t>
      </w:r>
    </w:p>
    <w:p w14:paraId="30C82DFA" w14:textId="77777777" w:rsidR="005849FB" w:rsidRPr="005849FB" w:rsidRDefault="005849FB" w:rsidP="005849FB">
      <w:pPr>
        <w:numPr>
          <w:ilvl w:val="0"/>
          <w:numId w:val="7"/>
        </w:numPr>
      </w:pPr>
      <w:r w:rsidRPr="005849FB">
        <w:t xml:space="preserve">Mean ΔCt </w:t>
      </w:r>
    </w:p>
    <w:p w14:paraId="0A98A59E" w14:textId="77777777" w:rsidR="005849FB" w:rsidRPr="005849FB" w:rsidRDefault="005849FB" w:rsidP="005849FB">
      <w:pPr>
        <w:numPr>
          <w:ilvl w:val="0"/>
          <w:numId w:val="7"/>
        </w:numPr>
      </w:pPr>
      <w:r w:rsidRPr="005849FB">
        <w:t xml:space="preserve">Standard deviation of ΔCt </w:t>
      </w:r>
    </w:p>
    <w:p w14:paraId="1D16510D" w14:textId="72A7863D" w:rsidR="005849FB" w:rsidRPr="005849FB" w:rsidRDefault="005849FB" w:rsidP="005849FB">
      <w:r w:rsidRPr="005849FB">
        <w:t>These values summarize the observed expression data.</w:t>
      </w:r>
      <w:r>
        <w:t xml:space="preserve"> However, if there was only one non-missing observation of each combination within an experiment, then an `NA` value was generated because variance is not defined for a single observation. Caution should also be generated as the mean </w:t>
      </w:r>
      <w:r w:rsidRPr="005849FB">
        <w:t>ΔCt</w:t>
      </w:r>
      <w:r>
        <w:t xml:space="preserve"> is confounded with the sample value.</w:t>
      </w:r>
    </w:p>
    <w:p w14:paraId="7C303177" w14:textId="77777777" w:rsidR="005849FB" w:rsidRPr="005849FB" w:rsidRDefault="00000000" w:rsidP="005849FB">
      <w:r>
        <w:pict w14:anchorId="0BF9D730">
          <v:rect id="_x0000_i1029" style="width:0;height:1.5pt" o:hralign="center" o:hrstd="t" o:hr="t" fillcolor="#a0a0a0" stroked="f"/>
        </w:pict>
      </w:r>
    </w:p>
    <w:p w14:paraId="5FE6A8F3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lastRenderedPageBreak/>
        <w:t>Step 4: Calculate ΔΔCt</w:t>
      </w:r>
    </w:p>
    <w:p w14:paraId="2EEC62E5" w14:textId="77777777" w:rsidR="005849FB" w:rsidRPr="005849FB" w:rsidRDefault="005849FB" w:rsidP="005849FB">
      <w:r w:rsidRPr="005849FB">
        <w:t>ΔΔCt is calculated as:</w:t>
      </w:r>
    </w:p>
    <w:p w14:paraId="3D9AC541" w14:textId="4B92556E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ΔΔ</m:t>
          </m:r>
          <m:r>
            <w:rPr>
              <w:rFonts w:ascii="Cambria Math" w:hAnsi="Cambria Math"/>
            </w:rPr>
            <m:t>Ct=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RNAi</m:t>
              </m:r>
            </m:sub>
          </m:sSub>
          <m:r>
            <w:rPr>
              <w:rFonts w:ascii="Cambria Math" w:eastAsiaTheme="minorEastAsia" w:hAnsi="Cambria Math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WT</m:t>
              </m:r>
            </m:sub>
          </m:sSub>
          <m:r>
            <m:rPr>
              <m:sty m:val="p"/>
            </m:rPr>
            <w:br/>
          </m:r>
        </m:oMath>
      </m:oMathPara>
    </w:p>
    <w:p w14:paraId="758E3530" w14:textId="77777777" w:rsidR="005849FB" w:rsidRPr="005849FB" w:rsidRDefault="005849FB" w:rsidP="005849FB">
      <w:r w:rsidRPr="005849FB">
        <w:t>Interpretation:</w:t>
      </w:r>
    </w:p>
    <w:p w14:paraId="6B9B65D3" w14:textId="77777777" w:rsidR="005849FB" w:rsidRPr="005849FB" w:rsidRDefault="005849FB" w:rsidP="005849FB">
      <w:pPr>
        <w:numPr>
          <w:ilvl w:val="0"/>
          <w:numId w:val="8"/>
        </w:numPr>
      </w:pPr>
      <w:r w:rsidRPr="005849FB">
        <w:t xml:space="preserve">Positive ΔΔCt indicates reduced expression in the RNAi treatment. </w:t>
      </w:r>
    </w:p>
    <w:p w14:paraId="439E455D" w14:textId="77777777" w:rsidR="005849FB" w:rsidRDefault="005849FB" w:rsidP="005849FB">
      <w:pPr>
        <w:numPr>
          <w:ilvl w:val="0"/>
          <w:numId w:val="8"/>
        </w:numPr>
      </w:pPr>
      <w:r w:rsidRPr="005849FB">
        <w:t xml:space="preserve">Negative ΔΔCt indicates increased expression in the RNAi treatment. </w:t>
      </w:r>
    </w:p>
    <w:p w14:paraId="1793199B" w14:textId="4FC36D0B" w:rsidR="005849FB" w:rsidRPr="005849FB" w:rsidRDefault="005849FB" w:rsidP="005849FB">
      <w:pPr>
        <w:numPr>
          <w:ilvl w:val="0"/>
          <w:numId w:val="8"/>
        </w:numPr>
      </w:pPr>
      <w:r>
        <w:t xml:space="preserve">Means and SD of </w:t>
      </w:r>
      <m:oMath>
        <m:r>
          <m:rPr>
            <m:sty m:val="p"/>
          </m:rPr>
          <w:rPr>
            <w:rFonts w:ascii="Cambria Math" w:hAnsi="Cambria Math"/>
          </w:rPr>
          <m:t>ΔΔ</m:t>
        </m:r>
        <m:r>
          <w:rPr>
            <w:rFonts w:ascii="Cambria Math" w:hAnsi="Cambria Math"/>
          </w:rPr>
          <m:t>Ct</m:t>
        </m:r>
      </m:oMath>
      <w:r>
        <w:rPr>
          <w:rFonts w:eastAsiaTheme="minorEastAsia"/>
        </w:rPr>
        <w:t xml:space="preserve"> were calculated</w:t>
      </w:r>
    </w:p>
    <w:p w14:paraId="29D7E86A" w14:textId="77777777" w:rsidR="005849FB" w:rsidRPr="005849FB" w:rsidRDefault="00000000" w:rsidP="005849FB">
      <w:r>
        <w:pict w14:anchorId="0AC0FB6C">
          <v:rect id="_x0000_i1030" style="width:0;height:1.5pt" o:hralign="center" o:hrstd="t" o:hr="t" fillcolor="#a0a0a0" stroked="f"/>
        </w:pict>
      </w:r>
    </w:p>
    <w:p w14:paraId="5AFBE600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Step 5: Convert ΔΔCt to Fold Change</w:t>
      </w:r>
    </w:p>
    <w:p w14:paraId="0CB37062" w14:textId="67950278" w:rsidR="005849FB" w:rsidRPr="005849FB" w:rsidRDefault="005849FB" w:rsidP="005849FB">
      <w:r>
        <w:t>Mean f</w:t>
      </w:r>
      <w:r w:rsidRPr="005849FB">
        <w:t xml:space="preserve">old change </w:t>
      </w:r>
      <w:r>
        <w:t>was</w:t>
      </w:r>
      <w:r w:rsidRPr="005849FB">
        <w:t xml:space="preserve"> calculated using:</w:t>
      </w:r>
    </w:p>
    <w:p w14:paraId="5AEB2608" w14:textId="2FD17483" w:rsidR="005849FB" w:rsidRPr="005849FB" w:rsidRDefault="005849FB" w:rsidP="005849FB">
      <m:oMathPara>
        <m:oMath>
          <m:r>
            <w:rPr>
              <w:rFonts w:ascii="Cambria Math" w:hAnsi="Cambria Math"/>
            </w:rPr>
            <m:t>Mean Fold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Change=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-</m:t>
              </m:r>
              <m:bar>
                <m:barPr>
                  <m:pos m:val="top"/>
                  <m:ctrlPr>
                    <w:rPr>
                      <w:rFonts w:ascii="Cambria Math" w:hAnsi="Cambria Math"/>
                      <w:i/>
                    </w:rPr>
                  </m:ctrlPr>
                </m:ba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ΔΔ</m:t>
                  </m:r>
                  <m:r>
                    <w:rPr>
                      <w:rFonts w:ascii="Cambria Math" w:hAnsi="Cambria Math"/>
                    </w:rPr>
                    <m:t>Ct</m:t>
                  </m:r>
                </m:e>
              </m:bar>
            </m:sup>
          </m:sSup>
          <m:r>
            <m:rPr>
              <m:sty m:val="p"/>
            </m:rPr>
            <w:br/>
          </m:r>
        </m:oMath>
      </m:oMathPara>
    </w:p>
    <w:p w14:paraId="0A1EF739" w14:textId="77777777" w:rsidR="005849FB" w:rsidRPr="005849FB" w:rsidRDefault="005849FB" w:rsidP="005849FB">
      <w:r w:rsidRPr="005849FB">
        <w:t>Interpretation:</w:t>
      </w:r>
    </w:p>
    <w:p w14:paraId="60FEF1EA" w14:textId="77777777" w:rsidR="005849FB" w:rsidRPr="005849FB" w:rsidRDefault="005849FB" w:rsidP="005849FB">
      <w:pPr>
        <w:numPr>
          <w:ilvl w:val="0"/>
          <w:numId w:val="9"/>
        </w:numPr>
      </w:pPr>
      <w:r w:rsidRPr="005849FB">
        <w:t xml:space="preserve">Fold change &gt; 1 indicates increased expression. </w:t>
      </w:r>
    </w:p>
    <w:p w14:paraId="2F937E4B" w14:textId="77777777" w:rsidR="005849FB" w:rsidRPr="005849FB" w:rsidRDefault="005849FB" w:rsidP="005849FB">
      <w:pPr>
        <w:numPr>
          <w:ilvl w:val="0"/>
          <w:numId w:val="9"/>
        </w:numPr>
      </w:pPr>
      <w:r w:rsidRPr="005849FB">
        <w:t xml:space="preserve">Fold change &lt; 1 indicates decreased expression. </w:t>
      </w:r>
    </w:p>
    <w:p w14:paraId="4860C662" w14:textId="77777777" w:rsidR="005849FB" w:rsidRPr="005849FB" w:rsidRDefault="00000000" w:rsidP="005849FB">
      <w:r>
        <w:pict w14:anchorId="287A0D71">
          <v:rect id="_x0000_i1031" style="width:0;height:1.5pt" o:hralign="center" o:hrstd="t" o:hr="t" fillcolor="#a0a0a0" stroked="f"/>
        </w:pict>
      </w:r>
    </w:p>
    <w:p w14:paraId="43A76DDA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Step 6: Propagate Uncertainty</w:t>
      </w:r>
    </w:p>
    <w:p w14:paraId="092E0C48" w14:textId="0149FBE3" w:rsidR="005849FB" w:rsidRPr="005849FB" w:rsidRDefault="005849FB" w:rsidP="005849FB">
      <w:r w:rsidRPr="005849FB">
        <w:t>Variability is propagated through the ΔΔCt calculation before transformation into fold-change space</w:t>
      </w:r>
      <w:r>
        <w:t>.</w:t>
      </w:r>
    </w:p>
    <w:p w14:paraId="4699CF97" w14:textId="63857A15" w:rsidR="005849FB" w:rsidRPr="005849FB" w:rsidRDefault="005849FB" w:rsidP="005849FB">
      <w:r w:rsidRPr="005849FB">
        <w:t>Th</w:t>
      </w:r>
      <w:r>
        <w:t>is variability ONLY</w:t>
      </w:r>
      <w:r w:rsidRPr="005849FB">
        <w:t xml:space="preserve"> describe</w:t>
      </w:r>
      <w:r>
        <w:t>s</w:t>
      </w:r>
      <w:r w:rsidRPr="005849FB">
        <w:t xml:space="preserve"> variability in the </w:t>
      </w:r>
      <w:r>
        <w:t xml:space="preserve">corrected </w:t>
      </w:r>
      <w:r w:rsidRPr="005849FB">
        <w:t>observed data</w:t>
      </w:r>
      <w:r>
        <w:t>, but is NOT error of an estimate</w:t>
      </w:r>
      <w:r w:rsidRPr="005849FB">
        <w:t>.</w:t>
      </w:r>
    </w:p>
    <w:p w14:paraId="15BDBEDB" w14:textId="77777777" w:rsidR="005849FB" w:rsidRPr="005849FB" w:rsidRDefault="005849FB" w:rsidP="005849FB">
      <w:r w:rsidRPr="005849FB">
        <w:t xml:space="preserve">They are </w:t>
      </w:r>
      <w:r w:rsidRPr="005849FB">
        <w:rPr>
          <w:b/>
          <w:bCs/>
        </w:rPr>
        <w:t>not equivalent to confidence intervals</w:t>
      </w:r>
      <w:r w:rsidRPr="005849FB">
        <w:t>.</w:t>
      </w:r>
    </w:p>
    <w:p w14:paraId="2B4F99B9" w14:textId="7E16C9E2" w:rsidR="005849FB" w:rsidRPr="005849FB" w:rsidRDefault="005849FB" w:rsidP="005849FB">
      <w:r w:rsidRPr="005849FB">
        <w:t xml:space="preserve">Confidence intervals for statistical inference are generated using the linear modelling approach described in Script </w:t>
      </w:r>
      <w:r>
        <w:t xml:space="preserve">Part </w:t>
      </w:r>
      <w:r w:rsidRPr="005849FB">
        <w:t>2.</w:t>
      </w:r>
    </w:p>
    <w:p w14:paraId="27C91098" w14:textId="77777777" w:rsidR="005849FB" w:rsidRPr="005849FB" w:rsidRDefault="00000000" w:rsidP="005849FB">
      <w:r>
        <w:pict w14:anchorId="6D626C28">
          <v:rect id="_x0000_i1032" style="width:0;height:1.5pt" o:hralign="center" o:hrstd="t" o:hr="t" fillcolor="#a0a0a0" stroked="f"/>
        </w:pict>
      </w:r>
    </w:p>
    <w:p w14:paraId="678E6E82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Step 7: Generate Descriptive Figures</w:t>
      </w:r>
    </w:p>
    <w:p w14:paraId="5E326284" w14:textId="77777777" w:rsidR="005849FB" w:rsidRPr="005849FB" w:rsidRDefault="005849FB" w:rsidP="005849FB">
      <w:r w:rsidRPr="005849FB">
        <w:t>Figures produced from this workflow illustrate:</w:t>
      </w:r>
    </w:p>
    <w:p w14:paraId="4DFA545E" w14:textId="77777777" w:rsidR="005849FB" w:rsidRPr="005849FB" w:rsidRDefault="005849FB" w:rsidP="005849FB">
      <w:pPr>
        <w:numPr>
          <w:ilvl w:val="0"/>
          <w:numId w:val="10"/>
        </w:numPr>
      </w:pPr>
      <w:r w:rsidRPr="005849FB">
        <w:t xml:space="preserve">observed expression differences; </w:t>
      </w:r>
    </w:p>
    <w:p w14:paraId="17838200" w14:textId="77777777" w:rsidR="005849FB" w:rsidRPr="005849FB" w:rsidRDefault="005849FB" w:rsidP="005849FB">
      <w:pPr>
        <w:numPr>
          <w:ilvl w:val="0"/>
          <w:numId w:val="10"/>
        </w:numPr>
      </w:pPr>
      <w:r w:rsidRPr="005849FB">
        <w:lastRenderedPageBreak/>
        <w:t xml:space="preserve">biological trends; </w:t>
      </w:r>
    </w:p>
    <w:p w14:paraId="2B1F0A66" w14:textId="77777777" w:rsidR="005849FB" w:rsidRPr="005849FB" w:rsidRDefault="005849FB" w:rsidP="005849FB">
      <w:pPr>
        <w:numPr>
          <w:ilvl w:val="0"/>
          <w:numId w:val="10"/>
        </w:numPr>
      </w:pPr>
      <w:r w:rsidRPr="005849FB">
        <w:t xml:space="preserve">fold-change relationships between treatments. </w:t>
      </w:r>
    </w:p>
    <w:p w14:paraId="60DEC112" w14:textId="77777777" w:rsidR="005849FB" w:rsidRPr="005849FB" w:rsidRDefault="005849FB" w:rsidP="005849FB">
      <w:r w:rsidRPr="005849FB">
        <w:t>These figures should be interpreted as descriptive summaries rather than statistical evidence.</w:t>
      </w:r>
    </w:p>
    <w:p w14:paraId="5CA1BD75" w14:textId="77777777" w:rsidR="005849FB" w:rsidRPr="005849FB" w:rsidRDefault="00000000" w:rsidP="005849FB">
      <w:r>
        <w:pict w14:anchorId="73DC3F00">
          <v:rect id="_x0000_i1033" style="width:0;height:1.5pt" o:hralign="center" o:hrstd="t" o:hr="t" fillcolor="#a0a0a0" stroked="f"/>
        </w:pict>
      </w:r>
    </w:p>
    <w:p w14:paraId="43EE1D40" w14:textId="5BC0FBA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 xml:space="preserve">Script </w:t>
      </w:r>
      <w:r w:rsidR="00741590">
        <w:rPr>
          <w:b/>
          <w:bCs/>
        </w:rPr>
        <w:t xml:space="preserve">Part </w:t>
      </w:r>
      <w:r w:rsidRPr="005849FB">
        <w:rPr>
          <w:b/>
          <w:bCs/>
        </w:rPr>
        <w:t>2: Statistical Modelling of ΔCt Values</w:t>
      </w:r>
    </w:p>
    <w:p w14:paraId="20E501BC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Purpose</w:t>
      </w:r>
    </w:p>
    <w:p w14:paraId="0C8048D7" w14:textId="77777777" w:rsidR="005849FB" w:rsidRPr="005849FB" w:rsidRDefault="005849FB" w:rsidP="005849FB">
      <w:r w:rsidRPr="005849FB">
        <w:t>Statistical inference is performed directly using ΔCt values rather than transformed fold-change values.</w:t>
      </w:r>
    </w:p>
    <w:p w14:paraId="307714C8" w14:textId="77777777" w:rsidR="005849FB" w:rsidRPr="005849FB" w:rsidRDefault="005849FB" w:rsidP="005849FB">
      <w:r w:rsidRPr="005849FB">
        <w:t>This approach is preferred because ΔCt values generally better satisfy the assumptions required for linear modelling.</w:t>
      </w:r>
    </w:p>
    <w:p w14:paraId="63650ABB" w14:textId="77777777" w:rsidR="005849FB" w:rsidRPr="005849FB" w:rsidRDefault="005849FB" w:rsidP="005849FB">
      <w:r w:rsidRPr="005849FB">
        <w:t>Fold-change values are exponential transformations and can:</w:t>
      </w:r>
    </w:p>
    <w:p w14:paraId="36598C1D" w14:textId="77777777" w:rsidR="005849FB" w:rsidRPr="005849FB" w:rsidRDefault="005849FB" w:rsidP="005849FB">
      <w:pPr>
        <w:numPr>
          <w:ilvl w:val="0"/>
          <w:numId w:val="11"/>
        </w:numPr>
      </w:pPr>
      <w:r w:rsidRPr="005849FB">
        <w:t xml:space="preserve">introduce asymmetry; </w:t>
      </w:r>
    </w:p>
    <w:p w14:paraId="246108C2" w14:textId="77777777" w:rsidR="005849FB" w:rsidRPr="005849FB" w:rsidRDefault="005849FB" w:rsidP="005849FB">
      <w:pPr>
        <w:numPr>
          <w:ilvl w:val="0"/>
          <w:numId w:val="11"/>
        </w:numPr>
      </w:pPr>
      <w:r w:rsidRPr="005849FB">
        <w:t xml:space="preserve">produce skewed distributions; </w:t>
      </w:r>
    </w:p>
    <w:p w14:paraId="3999B43F" w14:textId="77777777" w:rsidR="005849FB" w:rsidRPr="005849FB" w:rsidRDefault="005849FB" w:rsidP="005849FB">
      <w:pPr>
        <w:numPr>
          <w:ilvl w:val="0"/>
          <w:numId w:val="11"/>
        </w:numPr>
      </w:pPr>
      <w:r w:rsidRPr="005849FB">
        <w:t xml:space="preserve">generate unequal variance. </w:t>
      </w:r>
    </w:p>
    <w:p w14:paraId="58A4B073" w14:textId="77777777" w:rsidR="005849FB" w:rsidRPr="005849FB" w:rsidRDefault="005849FB" w:rsidP="005849FB">
      <w:r w:rsidRPr="005849FB">
        <w:t>In contrast, ΔCt values are approximately normally distributed and are therefore more suitable for analysis using linear models.</w:t>
      </w:r>
    </w:p>
    <w:p w14:paraId="41120445" w14:textId="77777777" w:rsidR="005849FB" w:rsidRPr="005849FB" w:rsidRDefault="005849FB" w:rsidP="005849FB">
      <w:r w:rsidRPr="005849FB">
        <w:t>This approach is consistent with MIQE recommendations and established RT-qPCR statistical practices.</w:t>
      </w:r>
    </w:p>
    <w:p w14:paraId="6B3A9265" w14:textId="77777777" w:rsidR="005849FB" w:rsidRPr="005849FB" w:rsidRDefault="00000000" w:rsidP="005849FB">
      <w:r>
        <w:pict w14:anchorId="6369E898">
          <v:rect id="_x0000_i1034" style="width:0;height:1.5pt" o:hralign="center" o:hrstd="t" o:hr="t" fillcolor="#a0a0a0" stroked="f"/>
        </w:pict>
      </w:r>
    </w:p>
    <w:p w14:paraId="410F29E6" w14:textId="1B7AEAD6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Accounting for Experimental Variation</w:t>
      </w:r>
    </w:p>
    <w:p w14:paraId="7DC7241C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Why Include Experiment as a Model Term?</w:t>
      </w:r>
    </w:p>
    <w:p w14:paraId="5BC131EB" w14:textId="77777777" w:rsidR="005849FB" w:rsidRPr="005849FB" w:rsidRDefault="005849FB" w:rsidP="005849FB">
      <w:r w:rsidRPr="005849FB">
        <w:t>Samples were processed across two independent experimental runs.</w:t>
      </w:r>
    </w:p>
    <w:p w14:paraId="1DA4E601" w14:textId="77777777" w:rsidR="005849FB" w:rsidRPr="005849FB" w:rsidRDefault="005849FB" w:rsidP="005849FB">
      <w:r w:rsidRPr="005849FB">
        <w:t>Independent experimental runs may differ due to:</w:t>
      </w:r>
    </w:p>
    <w:p w14:paraId="5A1881D6" w14:textId="77777777" w:rsidR="005849FB" w:rsidRPr="005849FB" w:rsidRDefault="005849FB" w:rsidP="005849FB">
      <w:pPr>
        <w:numPr>
          <w:ilvl w:val="0"/>
          <w:numId w:val="12"/>
        </w:numPr>
      </w:pPr>
      <w:r w:rsidRPr="005849FB">
        <w:t xml:space="preserve">reagent variation; </w:t>
      </w:r>
    </w:p>
    <w:p w14:paraId="7939E7E6" w14:textId="77777777" w:rsidR="005849FB" w:rsidRPr="005849FB" w:rsidRDefault="005849FB" w:rsidP="005849FB">
      <w:pPr>
        <w:numPr>
          <w:ilvl w:val="0"/>
          <w:numId w:val="12"/>
        </w:numPr>
      </w:pPr>
      <w:r w:rsidRPr="005849FB">
        <w:t xml:space="preserve">pipetting differences; </w:t>
      </w:r>
    </w:p>
    <w:p w14:paraId="3D8257BE" w14:textId="77777777" w:rsidR="005849FB" w:rsidRPr="005849FB" w:rsidRDefault="005849FB" w:rsidP="005849FB">
      <w:pPr>
        <w:numPr>
          <w:ilvl w:val="0"/>
          <w:numId w:val="12"/>
        </w:numPr>
      </w:pPr>
      <w:r w:rsidRPr="005849FB">
        <w:t xml:space="preserve">instrument calibration; </w:t>
      </w:r>
    </w:p>
    <w:p w14:paraId="4C6CF129" w14:textId="77777777" w:rsidR="005849FB" w:rsidRPr="005849FB" w:rsidRDefault="005849FB" w:rsidP="005849FB">
      <w:pPr>
        <w:numPr>
          <w:ilvl w:val="0"/>
          <w:numId w:val="12"/>
        </w:numPr>
      </w:pPr>
      <w:r w:rsidRPr="005849FB">
        <w:t xml:space="preserve">operator effects; </w:t>
      </w:r>
    </w:p>
    <w:p w14:paraId="0A6C8345" w14:textId="77777777" w:rsidR="005849FB" w:rsidRPr="005849FB" w:rsidRDefault="005849FB" w:rsidP="005849FB">
      <w:pPr>
        <w:numPr>
          <w:ilvl w:val="0"/>
          <w:numId w:val="12"/>
        </w:numPr>
      </w:pPr>
      <w:r w:rsidRPr="005849FB">
        <w:t xml:space="preserve">environmental conditions. </w:t>
      </w:r>
    </w:p>
    <w:p w14:paraId="7FF4AB94" w14:textId="77777777" w:rsidR="005849FB" w:rsidRPr="005849FB" w:rsidRDefault="005849FB" w:rsidP="005849FB">
      <w:r w:rsidRPr="005849FB">
        <w:lastRenderedPageBreak/>
        <w:t>These factors can introduce systematic shifts in ΔCt values.</w:t>
      </w:r>
    </w:p>
    <w:p w14:paraId="686751D6" w14:textId="77777777" w:rsidR="005849FB" w:rsidRPr="005849FB" w:rsidRDefault="005849FB" w:rsidP="005849FB">
      <w:r w:rsidRPr="005849FB">
        <w:t xml:space="preserve">Therefore, </w:t>
      </w:r>
      <w:r w:rsidRPr="005849FB">
        <w:rPr>
          <w:b/>
          <w:bCs/>
        </w:rPr>
        <w:t>Experiment is included as a model term</w:t>
      </w:r>
      <w:r w:rsidRPr="005849FB">
        <w:t xml:space="preserve"> to account for experiment-to-experiment variation.</w:t>
      </w:r>
    </w:p>
    <w:p w14:paraId="5EBB6F5C" w14:textId="77777777" w:rsidR="005849FB" w:rsidRPr="005849FB" w:rsidRDefault="005849FB" w:rsidP="005849FB">
      <w:r w:rsidRPr="005849FB">
        <w:t>This allows treatment effects to be estimated after adjusting for differences between experimental runs.</w:t>
      </w:r>
    </w:p>
    <w:p w14:paraId="57ABF67C" w14:textId="77777777" w:rsidR="005849FB" w:rsidRPr="005849FB" w:rsidRDefault="00000000" w:rsidP="005849FB">
      <w:r>
        <w:pict w14:anchorId="710D0A53">
          <v:rect id="_x0000_i1035" style="width:0;height:1.5pt" o:hralign="center" o:hrstd="t" o:hr="t" fillcolor="#a0a0a0" stroked="f"/>
        </w:pict>
      </w:r>
    </w:p>
    <w:p w14:paraId="7B1BD99F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Relationship Between ΔΔCt and Linear Modelling</w:t>
      </w:r>
    </w:p>
    <w:p w14:paraId="76789C26" w14:textId="77777777" w:rsidR="005849FB" w:rsidRPr="005849FB" w:rsidRDefault="005849FB" w:rsidP="005849FB">
      <w:r w:rsidRPr="005849FB">
        <w:t>Both the classical ΔΔCt method and the linear model account for experimental variation.</w:t>
      </w:r>
    </w:p>
    <w:p w14:paraId="0C0B5385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Classical ΔΔCt Approach</w:t>
      </w:r>
    </w:p>
    <w:p w14:paraId="298FD695" w14:textId="77777777" w:rsidR="005849FB" w:rsidRPr="005849FB" w:rsidRDefault="005849FB" w:rsidP="005849FB">
      <w:r w:rsidRPr="005849FB">
        <w:t>The workflow is:</w:t>
      </w:r>
    </w:p>
    <w:p w14:paraId="0E27CDA0" w14:textId="77777777" w:rsidR="005849FB" w:rsidRPr="005849FB" w:rsidRDefault="005849FB" w:rsidP="005849FB">
      <w:r w:rsidRPr="005849FB">
        <w:t>ΔCt</w:t>
      </w:r>
      <w:r w:rsidRPr="005849FB">
        <w:br/>
        <w:t>↓</w:t>
      </w:r>
      <w:r w:rsidRPr="005849FB">
        <w:br/>
        <w:t>Normalize relative to control</w:t>
      </w:r>
      <w:r w:rsidRPr="005849FB">
        <w:br/>
        <w:t>↓</w:t>
      </w:r>
      <w:r w:rsidRPr="005849FB">
        <w:br/>
        <w:t>Calculate ΔΔCt</w:t>
      </w:r>
      <w:r w:rsidRPr="005849FB">
        <w:br/>
        <w:t>↓</w:t>
      </w:r>
      <w:r w:rsidRPr="005849FB">
        <w:br/>
        <w:t>Convert to fold change</w:t>
      </w:r>
    </w:p>
    <w:p w14:paraId="28082F25" w14:textId="77777777" w:rsidR="005849FB" w:rsidRPr="005849FB" w:rsidRDefault="00000000" w:rsidP="005849FB">
      <w:r>
        <w:pict w14:anchorId="1C51FCB4">
          <v:rect id="_x0000_i1036" style="width:0;height:1.5pt" o:hralign="center" o:hrstd="t" o:hr="t" fillcolor="#a0a0a0" stroked="f"/>
        </w:pict>
      </w:r>
    </w:p>
    <w:p w14:paraId="5D0564DF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Linear Model Approach</w:t>
      </w:r>
    </w:p>
    <w:p w14:paraId="32FBB553" w14:textId="77777777" w:rsidR="005849FB" w:rsidRPr="005849FB" w:rsidRDefault="005849FB" w:rsidP="005849FB">
      <w:r w:rsidRPr="005849FB">
        <w:t>The workflow is:</w:t>
      </w:r>
    </w:p>
    <w:p w14:paraId="088F98DF" w14:textId="35C6807F" w:rsidR="00741590" w:rsidRDefault="005849FB" w:rsidP="005849FB">
      <w:r w:rsidRPr="005849FB">
        <w:t>ΔCt</w:t>
      </w:r>
      <w:r w:rsidRPr="005849FB">
        <w:br/>
        <w:t>↓</w:t>
      </w:r>
      <w:r w:rsidRPr="005849FB">
        <w:br/>
        <w:t>Include Experiment as a model term</w:t>
      </w:r>
      <w:r w:rsidRPr="005849FB">
        <w:br/>
        <w:t>↓</w:t>
      </w:r>
      <w:r w:rsidRPr="005849FB">
        <w:br/>
      </w:r>
      <w:r w:rsidR="00741590">
        <w:t>Evaluate model fit and significance</w:t>
      </w:r>
    </w:p>
    <w:p w14:paraId="43DCD498" w14:textId="09D4A643" w:rsidR="00741590" w:rsidRDefault="00741590" w:rsidP="005849FB">
      <w:r w:rsidRPr="005849FB">
        <w:t>↓</w:t>
      </w:r>
    </w:p>
    <w:p w14:paraId="7D6803B8" w14:textId="4C2261EB" w:rsidR="005849FB" w:rsidRPr="005849FB" w:rsidRDefault="005849FB" w:rsidP="005849FB">
      <w:r w:rsidRPr="005849FB">
        <w:t>Estimate adjusted treatment effect</w:t>
      </w:r>
      <w:r w:rsidR="00741590">
        <w:t xml:space="preserve"> (RNAi – WT) and generate 95% confidence interval</w:t>
      </w:r>
    </w:p>
    <w:p w14:paraId="1A63B07E" w14:textId="77777777" w:rsidR="005849FB" w:rsidRPr="005849FB" w:rsidRDefault="00000000" w:rsidP="005849FB">
      <w:r>
        <w:pict w14:anchorId="10584442">
          <v:rect id="_x0000_i1037" style="width:0;height:1.5pt" o:hralign="center" o:hrstd="t" o:hr="t" fillcolor="#a0a0a0" stroked="f"/>
        </w:pict>
      </w:r>
    </w:p>
    <w:p w14:paraId="7D7694FB" w14:textId="77777777" w:rsidR="005849FB" w:rsidRPr="005849FB" w:rsidRDefault="005849FB" w:rsidP="005849FB">
      <w:r w:rsidRPr="005849FB">
        <w:t>The approaches are conceptually similar.</w:t>
      </w:r>
    </w:p>
    <w:p w14:paraId="493E5EC3" w14:textId="77777777" w:rsidR="005849FB" w:rsidRPr="005849FB" w:rsidRDefault="005849FB" w:rsidP="005849FB">
      <w:r w:rsidRPr="005849FB">
        <w:t>However, the linear model provides several advantages:</w:t>
      </w:r>
    </w:p>
    <w:p w14:paraId="78C64929" w14:textId="6C71C7C1" w:rsidR="005849FB" w:rsidRPr="005849FB" w:rsidRDefault="005849FB" w:rsidP="005849FB">
      <w:pPr>
        <w:numPr>
          <w:ilvl w:val="0"/>
          <w:numId w:val="13"/>
        </w:numPr>
      </w:pPr>
      <w:r w:rsidRPr="005849FB">
        <w:lastRenderedPageBreak/>
        <w:t>formal hypothesis testing</w:t>
      </w:r>
      <w:r w:rsidR="00741590">
        <w:t>, especially when two treatment factors (body part and RNAi treatment) are involved</w:t>
      </w:r>
      <w:r w:rsidRPr="005849FB">
        <w:t xml:space="preserve">; </w:t>
      </w:r>
    </w:p>
    <w:p w14:paraId="69F1A06E" w14:textId="1251088C" w:rsidR="005849FB" w:rsidRPr="005849FB" w:rsidRDefault="00741590" w:rsidP="005849FB">
      <w:pPr>
        <w:numPr>
          <w:ilvl w:val="0"/>
          <w:numId w:val="13"/>
        </w:numPr>
      </w:pPr>
      <w:r>
        <w:t xml:space="preserve">true </w:t>
      </w:r>
      <w:r w:rsidR="005849FB" w:rsidRPr="005849FB">
        <w:t xml:space="preserve">confidence intervals; </w:t>
      </w:r>
    </w:p>
    <w:p w14:paraId="75A48395" w14:textId="77777777" w:rsidR="005849FB" w:rsidRPr="005849FB" w:rsidRDefault="005849FB" w:rsidP="005849FB">
      <w:pPr>
        <w:numPr>
          <w:ilvl w:val="0"/>
          <w:numId w:val="13"/>
        </w:numPr>
      </w:pPr>
      <w:r w:rsidRPr="005849FB">
        <w:t xml:space="preserve">adjusted treatment estimates; </w:t>
      </w:r>
    </w:p>
    <w:p w14:paraId="4358F359" w14:textId="77777777" w:rsidR="005849FB" w:rsidRPr="005849FB" w:rsidRDefault="005849FB" w:rsidP="005849FB">
      <w:pPr>
        <w:numPr>
          <w:ilvl w:val="0"/>
          <w:numId w:val="13"/>
        </w:numPr>
      </w:pPr>
      <w:r w:rsidRPr="005849FB">
        <w:t xml:space="preserve">simultaneous adjustment for experimental factors; </w:t>
      </w:r>
    </w:p>
    <w:p w14:paraId="467C7FDD" w14:textId="77777777" w:rsidR="005849FB" w:rsidRPr="005849FB" w:rsidRDefault="005849FB" w:rsidP="005849FB">
      <w:pPr>
        <w:numPr>
          <w:ilvl w:val="0"/>
          <w:numId w:val="13"/>
        </w:numPr>
      </w:pPr>
      <w:r w:rsidRPr="005849FB">
        <w:t xml:space="preserve">improved handling of unbalanced datasets. </w:t>
      </w:r>
    </w:p>
    <w:p w14:paraId="314215A8" w14:textId="77777777" w:rsidR="005849FB" w:rsidRPr="005849FB" w:rsidRDefault="005849FB" w:rsidP="005849FB">
      <w:r w:rsidRPr="005849FB">
        <w:t>Therefore:</w:t>
      </w:r>
    </w:p>
    <w:p w14:paraId="4F4595BD" w14:textId="1739CD3B" w:rsidR="005849FB" w:rsidRPr="005849FB" w:rsidRDefault="005849FB" w:rsidP="005849FB">
      <w:pPr>
        <w:numPr>
          <w:ilvl w:val="0"/>
          <w:numId w:val="14"/>
        </w:numPr>
      </w:pPr>
      <w:r w:rsidRPr="005849FB">
        <w:t>ΔΔCt is used for descriptive visualization</w:t>
      </w:r>
      <w:r w:rsidR="00741590">
        <w:t xml:space="preserve"> and, while it does adjust for experimental conditions, is not transparent about experimental effects</w:t>
      </w:r>
      <w:r w:rsidRPr="005849FB">
        <w:t xml:space="preserve">. </w:t>
      </w:r>
    </w:p>
    <w:p w14:paraId="3B8E46FB" w14:textId="5424962A" w:rsidR="005849FB" w:rsidRPr="005849FB" w:rsidRDefault="005849FB" w:rsidP="005849FB">
      <w:pPr>
        <w:numPr>
          <w:ilvl w:val="0"/>
          <w:numId w:val="14"/>
        </w:numPr>
      </w:pPr>
      <w:r w:rsidRPr="005849FB">
        <w:t>Linear modelling is used for statistical inference</w:t>
      </w:r>
      <w:r w:rsidR="00741590">
        <w:t>, full transparency in reporting, and more complex treatment structures (e.g., two-way ANOVA)</w:t>
      </w:r>
      <w:r w:rsidRPr="005849FB">
        <w:t xml:space="preserve">. </w:t>
      </w:r>
    </w:p>
    <w:p w14:paraId="5C45E46C" w14:textId="77777777" w:rsidR="005849FB" w:rsidRPr="005849FB" w:rsidRDefault="00000000" w:rsidP="005849FB">
      <w:r>
        <w:pict w14:anchorId="253F5AAA">
          <v:rect id="_x0000_i1038" style="width:0;height:1.5pt" o:hralign="center" o:hrstd="t" o:hr="t" fillcolor="#a0a0a0" stroked="f"/>
        </w:pict>
      </w:r>
    </w:p>
    <w:p w14:paraId="0058E9E4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Part A: Type III Sums of Squares Linear Model</w:t>
      </w:r>
    </w:p>
    <w:p w14:paraId="6E117D75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Initial Model</w:t>
      </w:r>
    </w:p>
    <w:p w14:paraId="3006E319" w14:textId="77777777" w:rsidR="005849FB" w:rsidRPr="005849FB" w:rsidRDefault="005849FB" w:rsidP="005849FB">
      <w:r w:rsidRPr="005849FB">
        <w:t>The first model tests whether treatment effects differ among body parts.</w:t>
      </w:r>
    </w:p>
    <w:p w14:paraId="13430609" w14:textId="77777777" w:rsidR="005849FB" w:rsidRPr="005849FB" w:rsidRDefault="005849FB" w:rsidP="005849FB">
      <w:r w:rsidRPr="005849FB">
        <w:t>The model is:</w:t>
      </w:r>
    </w:p>
    <w:p w14:paraId="0D4B337B" w14:textId="1C01476D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Ct=Experiment+Treatment+Body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Part+Treatment×Body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Part</m:t>
          </m:r>
          <m:r>
            <w:br/>
          </m:r>
        </m:oMath>
      </m:oMathPara>
    </w:p>
    <w:p w14:paraId="1902AF9B" w14:textId="1369EEC8" w:rsidR="005849FB" w:rsidRPr="005849FB" w:rsidRDefault="005849FB" w:rsidP="005849FB">
      <w:r w:rsidRPr="005849FB">
        <w:t>Type III sums of squares are used because each factor is evaluated after accounting for all other variables included in the model</w:t>
      </w:r>
      <w:r w:rsidR="00741590">
        <w:t xml:space="preserve"> to see if it is absorbing variation in the data</w:t>
      </w:r>
      <w:r w:rsidRPr="005849FB">
        <w:t>.</w:t>
      </w:r>
    </w:p>
    <w:p w14:paraId="17179072" w14:textId="77777777" w:rsidR="005849FB" w:rsidRPr="005849FB" w:rsidRDefault="00000000" w:rsidP="005849FB">
      <w:r>
        <w:pict w14:anchorId="0A85F890">
          <v:rect id="_x0000_i1039" style="width:0;height:1.5pt" o:hralign="center" o:hrstd="t" o:hr="t" fillcolor="#a0a0a0" stroked="f"/>
        </w:pict>
      </w:r>
    </w:p>
    <w:p w14:paraId="7E0D35A9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Testing the Treatment × Body Part Interaction</w:t>
      </w:r>
    </w:p>
    <w:p w14:paraId="5BD082D6" w14:textId="77777777" w:rsidR="005849FB" w:rsidRPr="005849FB" w:rsidRDefault="005849FB" w:rsidP="005849FB">
      <w:r w:rsidRPr="005849FB">
        <w:t>The interaction term tests whether treatment effects differ depending on tissue location.</w:t>
      </w:r>
    </w:p>
    <w:p w14:paraId="6938420D" w14:textId="77777777" w:rsidR="005849FB" w:rsidRPr="005849FB" w:rsidRDefault="005849FB" w:rsidP="005849FB">
      <w:r w:rsidRPr="005849FB">
        <w:t>If the interaction is not significant, the model is simplified to:</w:t>
      </w:r>
    </w:p>
    <w:p w14:paraId="2E4AE5A9" w14:textId="27047016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Ct=Experiment+Treatment+Body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Part</m:t>
          </m:r>
          <m:r>
            <w:br/>
          </m:r>
        </m:oMath>
      </m:oMathPara>
    </w:p>
    <w:p w14:paraId="0A593E51" w14:textId="77777777" w:rsidR="005849FB" w:rsidRPr="005849FB" w:rsidRDefault="005849FB" w:rsidP="005849FB">
      <w:r w:rsidRPr="005849FB">
        <w:t>This improves precision while retaining adjustment for relevant sources of variation.</w:t>
      </w:r>
    </w:p>
    <w:p w14:paraId="1CB86C90" w14:textId="77777777" w:rsidR="005849FB" w:rsidRPr="005849FB" w:rsidRDefault="00000000" w:rsidP="005849FB">
      <w:r>
        <w:pict w14:anchorId="509D66C2">
          <v:rect id="_x0000_i1040" style="width:0;height:1.5pt" o:hralign="center" o:hrstd="t" o:hr="t" fillcolor="#a0a0a0" stroked="f"/>
        </w:pict>
      </w:r>
    </w:p>
    <w:p w14:paraId="6A29A08F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Why Use Type III Sums of Squares?</w:t>
      </w:r>
    </w:p>
    <w:p w14:paraId="5A017C64" w14:textId="77777777" w:rsidR="005849FB" w:rsidRPr="005849FB" w:rsidRDefault="005849FB" w:rsidP="005849FB">
      <w:r w:rsidRPr="005849FB">
        <w:lastRenderedPageBreak/>
        <w:t>Type III sums of squares addresses the question:</w:t>
      </w:r>
    </w:p>
    <w:p w14:paraId="060DFE7E" w14:textId="77777777" w:rsidR="005849FB" w:rsidRPr="005849FB" w:rsidRDefault="005849FB" w:rsidP="005849FB">
      <w:r w:rsidRPr="005849FB">
        <w:t>After accounting for Experiment and Body Part, does Treatment explain significant variation in ΔCt?</w:t>
      </w:r>
    </w:p>
    <w:p w14:paraId="61E8EC68" w14:textId="3BD057FD" w:rsidR="005849FB" w:rsidRPr="005849FB" w:rsidRDefault="005849FB" w:rsidP="005849FB">
      <w:r w:rsidRPr="005849FB">
        <w:t>This directly corresponds to the biological question of interest.</w:t>
      </w:r>
      <w:r w:rsidR="00741590">
        <w:t xml:space="preserve"> It can also address: after accounting for Experiment and Treatment, does Body Part explain significant variation in </w:t>
      </w:r>
      <w:r w:rsidR="00741590" w:rsidRPr="005849FB">
        <w:t>ΔCt</w:t>
      </w:r>
      <w:r w:rsidR="00741590">
        <w:t>? And similarly for Experiment (hence is more transparent).</w:t>
      </w:r>
    </w:p>
    <w:p w14:paraId="3FC23A4E" w14:textId="77777777" w:rsidR="005849FB" w:rsidRPr="005849FB" w:rsidRDefault="00000000" w:rsidP="005849FB">
      <w:r>
        <w:pict w14:anchorId="417BEE07">
          <v:rect id="_x0000_i1041" style="width:0;height:1.5pt" o:hralign="center" o:hrstd="t" o:hr="t" fillcolor="#a0a0a0" stroked="f"/>
        </w:pict>
      </w:r>
    </w:p>
    <w:p w14:paraId="1943AB17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Estimated Marginal Means</w:t>
      </w:r>
    </w:p>
    <w:p w14:paraId="54074248" w14:textId="77777777" w:rsidR="005849FB" w:rsidRPr="005849FB" w:rsidRDefault="005849FB" w:rsidP="005849FB">
      <w:r w:rsidRPr="005849FB">
        <w:t>Estimated marginal means represent treatment means adjusted for:</w:t>
      </w:r>
    </w:p>
    <w:p w14:paraId="3586B573" w14:textId="77777777" w:rsidR="005849FB" w:rsidRPr="005849FB" w:rsidRDefault="005849FB" w:rsidP="005849FB">
      <w:pPr>
        <w:numPr>
          <w:ilvl w:val="0"/>
          <w:numId w:val="15"/>
        </w:numPr>
      </w:pPr>
      <w:r w:rsidRPr="005849FB">
        <w:t xml:space="preserve">Experiment; </w:t>
      </w:r>
    </w:p>
    <w:p w14:paraId="0BEBC8D5" w14:textId="77777777" w:rsidR="005849FB" w:rsidRPr="005849FB" w:rsidRDefault="005849FB" w:rsidP="005849FB">
      <w:pPr>
        <w:numPr>
          <w:ilvl w:val="0"/>
          <w:numId w:val="15"/>
        </w:numPr>
      </w:pPr>
      <w:r w:rsidRPr="005849FB">
        <w:t xml:space="preserve">Body Part. </w:t>
      </w:r>
    </w:p>
    <w:p w14:paraId="6F8454DD" w14:textId="2199C075" w:rsidR="005849FB" w:rsidRPr="005849FB" w:rsidRDefault="005849FB" w:rsidP="005849FB">
      <w:r w:rsidRPr="005849FB">
        <w:t>These adjusted means are analogous to ΔΔCt values after accounting for experimental variation</w:t>
      </w:r>
      <w:r w:rsidR="00741590">
        <w:t>, but, importantly, also adjust for body part (when evaluating Treatment) and account for unbalanced data</w:t>
      </w:r>
      <w:r w:rsidRPr="005849FB">
        <w:t>.</w:t>
      </w:r>
    </w:p>
    <w:p w14:paraId="42B8990C" w14:textId="77777777" w:rsidR="005849FB" w:rsidRPr="005849FB" w:rsidRDefault="00000000" w:rsidP="005849FB">
      <w:r>
        <w:pict w14:anchorId="4A675C4F">
          <v:rect id="_x0000_i1042" style="width:0;height:1.5pt" o:hralign="center" o:hrstd="t" o:hr="t" fillcolor="#a0a0a0" stroked="f"/>
        </w:pict>
      </w:r>
    </w:p>
    <w:p w14:paraId="3ED43774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Treatment Contrast</w:t>
      </w:r>
    </w:p>
    <w:p w14:paraId="6E602BAA" w14:textId="77777777" w:rsidR="005849FB" w:rsidRPr="005849FB" w:rsidRDefault="005849FB" w:rsidP="005849FB">
      <w:r w:rsidRPr="005849FB">
        <w:t>The primary contrast is:</w:t>
      </w:r>
    </w:p>
    <w:p w14:paraId="7A780061" w14:textId="23105DD4" w:rsidR="005849FB" w:rsidRPr="005849FB" w:rsidRDefault="005849FB" w:rsidP="005849FB">
      <m:oMathPara>
        <m:oMath>
          <m:r>
            <w:rPr>
              <w:rFonts w:ascii="Cambria Math" w:hAnsi="Cambria Math"/>
            </w:rPr>
            <m:t>RNAi-WT</m:t>
          </m:r>
          <m:r>
            <w:br/>
          </m:r>
        </m:oMath>
      </m:oMathPara>
    </w:p>
    <w:p w14:paraId="68B39188" w14:textId="77777777" w:rsidR="005849FB" w:rsidRPr="005849FB" w:rsidRDefault="005849FB" w:rsidP="005849FB">
      <w:r w:rsidRPr="005849FB">
        <w:t>This provides:</w:t>
      </w:r>
    </w:p>
    <w:p w14:paraId="4BE2F7D4" w14:textId="00A1E28D" w:rsidR="005849FB" w:rsidRPr="005849FB" w:rsidRDefault="005849FB" w:rsidP="005849FB">
      <w:pPr>
        <w:numPr>
          <w:ilvl w:val="0"/>
          <w:numId w:val="16"/>
        </w:numPr>
      </w:pPr>
      <w:r w:rsidRPr="005849FB">
        <w:t>adjusted ΔCt difference</w:t>
      </w:r>
      <w:r w:rsidR="00741590">
        <w:t xml:space="preserve"> (i.e., equivalent to a more fully adjusted </w:t>
      </w:r>
      <w:r w:rsidR="00741590" w:rsidRPr="005849FB">
        <w:t>ΔΔCt</w:t>
      </w:r>
      <w:r w:rsidR="00741590">
        <w:t xml:space="preserve"> value)</w:t>
      </w:r>
      <w:r w:rsidRPr="005849FB">
        <w:t xml:space="preserve">; </w:t>
      </w:r>
    </w:p>
    <w:p w14:paraId="5D4A6FA8" w14:textId="77777777" w:rsidR="005849FB" w:rsidRPr="005849FB" w:rsidRDefault="005849FB" w:rsidP="005849FB">
      <w:pPr>
        <w:numPr>
          <w:ilvl w:val="0"/>
          <w:numId w:val="16"/>
        </w:numPr>
      </w:pPr>
      <w:r w:rsidRPr="005849FB">
        <w:t xml:space="preserve">standard error; </w:t>
      </w:r>
    </w:p>
    <w:p w14:paraId="0BAA729A" w14:textId="77777777" w:rsidR="005849FB" w:rsidRPr="005849FB" w:rsidRDefault="005849FB" w:rsidP="005849FB">
      <w:pPr>
        <w:numPr>
          <w:ilvl w:val="0"/>
          <w:numId w:val="16"/>
        </w:numPr>
      </w:pPr>
      <w:r w:rsidRPr="005849FB">
        <w:t xml:space="preserve">p-value; </w:t>
      </w:r>
    </w:p>
    <w:p w14:paraId="24FB2702" w14:textId="77777777" w:rsidR="005849FB" w:rsidRPr="005849FB" w:rsidRDefault="005849FB" w:rsidP="005849FB">
      <w:pPr>
        <w:numPr>
          <w:ilvl w:val="0"/>
          <w:numId w:val="16"/>
        </w:numPr>
      </w:pPr>
      <w:r w:rsidRPr="005849FB">
        <w:t xml:space="preserve">95% confidence interval. </w:t>
      </w:r>
    </w:p>
    <w:p w14:paraId="52143FE2" w14:textId="77777777" w:rsidR="005849FB" w:rsidRPr="005849FB" w:rsidRDefault="00000000" w:rsidP="005849FB">
      <w:r>
        <w:pict w14:anchorId="7A4D0D66">
          <v:rect id="_x0000_i1043" style="width:0;height:1.5pt" o:hralign="center" o:hrstd="t" o:hr="t" fillcolor="#a0a0a0" stroked="f"/>
        </w:pict>
      </w:r>
    </w:p>
    <w:p w14:paraId="6DE397DE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Converting Statistical Results to Fold Change</w:t>
      </w:r>
    </w:p>
    <w:p w14:paraId="4F460686" w14:textId="6F80580E" w:rsidR="005849FB" w:rsidRPr="005849FB" w:rsidRDefault="005849FB" w:rsidP="005849FB">
      <w:r w:rsidRPr="005849FB">
        <w:t>Statistical inference is performed on the ΔCt</w:t>
      </w:r>
      <w:r w:rsidR="00741590">
        <w:t>/</w:t>
      </w:r>
      <w:r w:rsidR="00741590" w:rsidRPr="00741590">
        <w:t xml:space="preserve"> </w:t>
      </w:r>
      <w:r w:rsidR="00741590" w:rsidRPr="005849FB">
        <w:t>ΔΔCt</w:t>
      </w:r>
      <w:r w:rsidRPr="005849FB">
        <w:t xml:space="preserve"> scale.</w:t>
      </w:r>
    </w:p>
    <w:p w14:paraId="4C752BA7" w14:textId="77777777" w:rsidR="005849FB" w:rsidRPr="005849FB" w:rsidRDefault="005849FB" w:rsidP="005849FB">
      <w:r w:rsidRPr="005849FB">
        <w:t>However, fold change remains the most familiar biological interpretation.</w:t>
      </w:r>
    </w:p>
    <w:p w14:paraId="461891DD" w14:textId="77777777" w:rsidR="005849FB" w:rsidRPr="005849FB" w:rsidRDefault="005849FB" w:rsidP="005849FB">
      <w:r w:rsidRPr="005849FB">
        <w:t>Therefore, the estimated treatment difference and confidence interval limits are individually transformed:</w:t>
      </w:r>
    </w:p>
    <w:p w14:paraId="37A0B037" w14:textId="160F0724" w:rsidR="005849FB" w:rsidRPr="005849FB" w:rsidRDefault="005849FB" w:rsidP="005849FB">
      <m:oMathPara>
        <m:oMath>
          <m:r>
            <w:rPr>
              <w:rFonts w:ascii="Cambria Math" w:hAnsi="Cambria Math"/>
            </w:rPr>
            <w:lastRenderedPageBreak/>
            <m:t>Fold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Change=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Δ</m:t>
              </m:r>
              <m:r>
                <w:rPr>
                  <w:rFonts w:ascii="Cambria Math" w:hAnsi="Cambria Math"/>
                </w:rPr>
                <m:t>Ct</m:t>
              </m:r>
            </m:sup>
          </m:sSup>
          <m:r>
            <m:rPr>
              <m:sty m:val="p"/>
            </m:rPr>
            <w:br/>
          </m:r>
        </m:oMath>
      </m:oMathPara>
    </w:p>
    <w:p w14:paraId="2A94FB29" w14:textId="77777777" w:rsidR="005849FB" w:rsidRPr="005849FB" w:rsidRDefault="005849FB" w:rsidP="005849FB">
      <w:r w:rsidRPr="005849FB">
        <w:t>The final reported values include:</w:t>
      </w:r>
    </w:p>
    <w:p w14:paraId="30740AD1" w14:textId="77777777" w:rsidR="005849FB" w:rsidRPr="005849FB" w:rsidRDefault="005849FB" w:rsidP="005849FB">
      <w:pPr>
        <w:numPr>
          <w:ilvl w:val="0"/>
          <w:numId w:val="17"/>
        </w:numPr>
      </w:pPr>
      <w:r w:rsidRPr="005849FB">
        <w:t xml:space="preserve">estimated fold change; </w:t>
      </w:r>
    </w:p>
    <w:p w14:paraId="6ECFD33B" w14:textId="77777777" w:rsidR="005849FB" w:rsidRPr="005849FB" w:rsidRDefault="005849FB" w:rsidP="005849FB">
      <w:pPr>
        <w:numPr>
          <w:ilvl w:val="0"/>
          <w:numId w:val="17"/>
        </w:numPr>
      </w:pPr>
      <w:r w:rsidRPr="005849FB">
        <w:t xml:space="preserve">lower 95% confidence interval; </w:t>
      </w:r>
    </w:p>
    <w:p w14:paraId="35E7806F" w14:textId="77777777" w:rsidR="005849FB" w:rsidRPr="005849FB" w:rsidRDefault="005849FB" w:rsidP="005849FB">
      <w:pPr>
        <w:numPr>
          <w:ilvl w:val="0"/>
          <w:numId w:val="17"/>
        </w:numPr>
      </w:pPr>
      <w:r w:rsidRPr="005849FB">
        <w:t xml:space="preserve">upper 95% confidence interval. </w:t>
      </w:r>
    </w:p>
    <w:p w14:paraId="0D3701DC" w14:textId="0D2CA5A8" w:rsidR="005849FB" w:rsidRPr="005849FB" w:rsidRDefault="005849FB" w:rsidP="005849FB">
      <w:r w:rsidRPr="005849FB">
        <w:t>This preserves statistical validity while presenting results in the conventional RT-qPCR format.</w:t>
      </w:r>
      <w:r w:rsidR="00741590">
        <w:t xml:space="preserve"> Thus, interaction effects were tested for, experimental effects can be reported, and fully adjusted </w:t>
      </w:r>
      <w:r w:rsidR="00741590" w:rsidRPr="005849FB">
        <w:t>ΔΔCt</w:t>
      </w:r>
      <w:r w:rsidR="00741590">
        <w:t xml:space="preserve"> values and their 95% confidence intervals are reported.</w:t>
      </w:r>
    </w:p>
    <w:p w14:paraId="124F1F1B" w14:textId="77777777" w:rsidR="005849FB" w:rsidRPr="005849FB" w:rsidRDefault="00000000" w:rsidP="005849FB">
      <w:r>
        <w:pict w14:anchorId="790805ED">
          <v:rect id="_x0000_i1044" style="width:0;height:1.5pt" o:hralign="center" o:hrstd="t" o:hr="t" fillcolor="#a0a0a0" stroked="f"/>
        </w:pict>
      </w:r>
    </w:p>
    <w:p w14:paraId="0068FB8C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Part B: Nested Model Comparisons</w:t>
      </w:r>
    </w:p>
    <w:p w14:paraId="5686C7D4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Purpose</w:t>
      </w:r>
    </w:p>
    <w:p w14:paraId="0BAD0309" w14:textId="1530815E" w:rsidR="005849FB" w:rsidRPr="005849FB" w:rsidRDefault="005849FB" w:rsidP="005849FB">
      <w:r w:rsidRPr="005849FB">
        <w:t>Nested model comparisons provide an independent validation of the conclusions obtained using Type III sums of squares.</w:t>
      </w:r>
      <w:r w:rsidR="007F1795">
        <w:t xml:space="preserve"> In fact, in this design structure, the two are equivalent.</w:t>
      </w:r>
    </w:p>
    <w:p w14:paraId="075A2B2B" w14:textId="77777777" w:rsidR="005849FB" w:rsidRPr="005849FB" w:rsidRDefault="005849FB" w:rsidP="005849FB">
      <w:r w:rsidRPr="005849FB">
        <w:t>Agreement between both approaches demonstrates that conclusions are robust and not dependent on a single statistical framework.</w:t>
      </w:r>
    </w:p>
    <w:p w14:paraId="2936BB42" w14:textId="77777777" w:rsidR="005849FB" w:rsidRPr="005849FB" w:rsidRDefault="00000000" w:rsidP="005849FB">
      <w:r>
        <w:pict w14:anchorId="43D84950">
          <v:rect id="_x0000_i1045" style="width:0;height:1.5pt" o:hralign="center" o:hrstd="t" o:hr="t" fillcolor="#a0a0a0" stroked="f"/>
        </w:pict>
      </w:r>
    </w:p>
    <w:p w14:paraId="33BA9404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Nested Models Tested</w:t>
      </w:r>
    </w:p>
    <w:p w14:paraId="17CD2A68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Model 1</w:t>
      </w:r>
    </w:p>
    <w:p w14:paraId="34E0A02A" w14:textId="1518958A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Ct∼Experiment</m:t>
          </m:r>
          <m:r>
            <w:br/>
          </m:r>
        </m:oMath>
      </m:oMathPara>
    </w:p>
    <w:p w14:paraId="286D3091" w14:textId="77777777" w:rsidR="005849FB" w:rsidRPr="005849FB" w:rsidRDefault="005849FB" w:rsidP="005849FB">
      <w:r w:rsidRPr="005849FB">
        <w:t>Tests variation explained by experimental run alone.</w:t>
      </w:r>
    </w:p>
    <w:p w14:paraId="7FED0530" w14:textId="77777777" w:rsidR="005849FB" w:rsidRPr="005849FB" w:rsidRDefault="00000000" w:rsidP="005849FB">
      <w:r>
        <w:pict w14:anchorId="5B815169">
          <v:rect id="_x0000_i1046" style="width:0;height:1.5pt" o:hralign="center" o:hrstd="t" o:hr="t" fillcolor="#a0a0a0" stroked="f"/>
        </w:pict>
      </w:r>
    </w:p>
    <w:p w14:paraId="42ECEC76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Model 2</w:t>
      </w:r>
    </w:p>
    <w:p w14:paraId="1638459C" w14:textId="0EF9B4EE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Ct∼Experiment+Treatment</m:t>
          </m:r>
          <m:r>
            <w:br/>
          </m:r>
        </m:oMath>
      </m:oMathPara>
    </w:p>
    <w:p w14:paraId="07D323E1" w14:textId="77777777" w:rsidR="005849FB" w:rsidRPr="005849FB" w:rsidRDefault="005849FB" w:rsidP="005849FB">
      <w:r w:rsidRPr="005849FB">
        <w:t>Tests whether Treatment explains additional variation beyond Experiment.</w:t>
      </w:r>
    </w:p>
    <w:p w14:paraId="4A1416AD" w14:textId="77777777" w:rsidR="005849FB" w:rsidRPr="005849FB" w:rsidRDefault="00000000" w:rsidP="005849FB">
      <w:r>
        <w:pict w14:anchorId="0B1D10B3">
          <v:rect id="_x0000_i1047" style="width:0;height:1.5pt" o:hralign="center" o:hrstd="t" o:hr="t" fillcolor="#a0a0a0" stroked="f"/>
        </w:pict>
      </w:r>
    </w:p>
    <w:p w14:paraId="7FB6BD91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Model 3</w:t>
      </w:r>
    </w:p>
    <w:p w14:paraId="209351E6" w14:textId="4C7EBD02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Δ</m:t>
          </m:r>
          <m:r>
            <w:rPr>
              <w:rFonts w:ascii="Cambria Math" w:hAnsi="Cambria Math"/>
            </w:rPr>
            <m:t>Ct∼Experiment+Body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Part</m:t>
          </m:r>
          <m:r>
            <w:br/>
          </m:r>
        </m:oMath>
      </m:oMathPara>
    </w:p>
    <w:p w14:paraId="4EB99F86" w14:textId="77777777" w:rsidR="005849FB" w:rsidRPr="005849FB" w:rsidRDefault="005849FB" w:rsidP="005849FB">
      <w:r w:rsidRPr="005849FB">
        <w:t>Tests whether Body Part explains additional variation beyond Experiment.</w:t>
      </w:r>
    </w:p>
    <w:p w14:paraId="4229AFA5" w14:textId="77777777" w:rsidR="005849FB" w:rsidRPr="005849FB" w:rsidRDefault="00000000" w:rsidP="005849FB">
      <w:r>
        <w:pict w14:anchorId="7516578D">
          <v:rect id="_x0000_i1048" style="width:0;height:1.5pt" o:hralign="center" o:hrstd="t" o:hr="t" fillcolor="#a0a0a0" stroked="f"/>
        </w:pict>
      </w:r>
    </w:p>
    <w:p w14:paraId="54443038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Model 4</w:t>
      </w:r>
    </w:p>
    <w:p w14:paraId="56FAC808" w14:textId="7FEF25EE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Ct∼Experiment+Treatment+Body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Part</m:t>
          </m:r>
          <m:r>
            <w:br/>
          </m:r>
        </m:oMath>
      </m:oMathPara>
    </w:p>
    <w:p w14:paraId="6DD8C620" w14:textId="77777777" w:rsidR="005849FB" w:rsidRPr="005849FB" w:rsidRDefault="005849FB" w:rsidP="005849FB">
      <w:r w:rsidRPr="005849FB">
        <w:t>Tests the additive effects of Treatment and Body Part.</w:t>
      </w:r>
    </w:p>
    <w:p w14:paraId="3035B70E" w14:textId="77777777" w:rsidR="005849FB" w:rsidRPr="005849FB" w:rsidRDefault="00000000" w:rsidP="005849FB">
      <w:r>
        <w:pict w14:anchorId="7529A2B9">
          <v:rect id="_x0000_i1049" style="width:0;height:1.5pt" o:hralign="center" o:hrstd="t" o:hr="t" fillcolor="#a0a0a0" stroked="f"/>
        </w:pict>
      </w:r>
    </w:p>
    <w:p w14:paraId="17BC70A0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Model 5</w:t>
      </w:r>
    </w:p>
    <w:p w14:paraId="33396A1D" w14:textId="5A4EB03A" w:rsidR="005849FB" w:rsidRPr="005849FB" w:rsidRDefault="005849FB" w:rsidP="005849FB">
      <m:oMathPara>
        <m:oMath>
          <m:r>
            <m:rPr>
              <m:sty m:val="p"/>
            </m:rPr>
            <w:rPr>
              <w:rFonts w:ascii="Cambria Math" w:hAnsi="Cambria Math"/>
            </w:rPr>
            <m:t>Δ</m:t>
          </m:r>
          <m:r>
            <w:rPr>
              <w:rFonts w:ascii="Cambria Math" w:hAnsi="Cambria Math"/>
            </w:rPr>
            <m:t>Ct∼Experiment+Treatment*Body</m:t>
          </m:r>
          <m:r>
            <m:rPr>
              <m:sty m:val="p"/>
            </m:rPr>
            <w:rPr>
              <w:rFonts w:ascii="Cambria Math" w:hAnsi="Cambria Math"/>
            </w:rPr>
            <m:t> </m:t>
          </m:r>
          <m:r>
            <w:rPr>
              <w:rFonts w:ascii="Cambria Math" w:hAnsi="Cambria Math"/>
            </w:rPr>
            <m:t>Part</m:t>
          </m:r>
          <m:r>
            <w:br/>
          </m:r>
        </m:oMath>
      </m:oMathPara>
    </w:p>
    <w:p w14:paraId="3CA8B905" w14:textId="77777777" w:rsidR="005849FB" w:rsidRPr="005849FB" w:rsidRDefault="005849FB" w:rsidP="005849FB">
      <w:r w:rsidRPr="005849FB">
        <w:t>Tests whether treatment effects differ among body parts.</w:t>
      </w:r>
    </w:p>
    <w:p w14:paraId="2FCED088" w14:textId="77777777" w:rsidR="005849FB" w:rsidRPr="005849FB" w:rsidRDefault="00000000" w:rsidP="005849FB">
      <w:r>
        <w:pict w14:anchorId="59547FA1">
          <v:rect id="_x0000_i1050" style="width:0;height:1.5pt" o:hralign="center" o:hrstd="t" o:hr="t" fillcolor="#a0a0a0" stroked="f"/>
        </w:pict>
      </w:r>
    </w:p>
    <w:p w14:paraId="2C22B179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Interpretation of Nested Model Comparisons</w:t>
      </w:r>
    </w:p>
    <w:p w14:paraId="49FF2E0C" w14:textId="77777777" w:rsidR="005849FB" w:rsidRPr="005849FB" w:rsidRDefault="005849FB" w:rsidP="005849FB">
      <w:r w:rsidRPr="005849FB">
        <w:t>Nested comparisons ask:</w:t>
      </w:r>
    </w:p>
    <w:p w14:paraId="5D9659F3" w14:textId="77777777" w:rsidR="005849FB" w:rsidRPr="005849FB" w:rsidRDefault="005849FB" w:rsidP="005849FB">
      <w:r w:rsidRPr="005849FB">
        <w:t>Does adding this variable significantly improve model fit?</w:t>
      </w:r>
    </w:p>
    <w:p w14:paraId="6C05A614" w14:textId="77777777" w:rsidR="005849FB" w:rsidRPr="005849FB" w:rsidRDefault="005849FB" w:rsidP="005849FB">
      <w:r w:rsidRPr="005849FB">
        <w:t>For example:</w:t>
      </w:r>
    </w:p>
    <w:p w14:paraId="2FC12F33" w14:textId="77777777" w:rsidR="005849FB" w:rsidRPr="005849FB" w:rsidRDefault="005849FB" w:rsidP="005849FB">
      <w:r w:rsidRPr="005849FB">
        <w:t>Comparison:</w:t>
      </w:r>
    </w:p>
    <w:p w14:paraId="213C7A97" w14:textId="760E791B" w:rsidR="005849FB" w:rsidRPr="005849FB" w:rsidRDefault="005849FB" w:rsidP="005849FB">
      <m:oMathPara>
        <m:oMath>
          <m:r>
            <w:rPr>
              <w:rFonts w:ascii="Cambria Math" w:hAnsi="Cambria Math"/>
            </w:rPr>
            <m:t>Experiment</m:t>
          </m:r>
          <m:r>
            <w:br/>
          </m:r>
        </m:oMath>
      </m:oMathPara>
    </w:p>
    <w:p w14:paraId="2837BC23" w14:textId="77777777" w:rsidR="005849FB" w:rsidRPr="005849FB" w:rsidRDefault="005849FB" w:rsidP="005849FB">
      <w:r w:rsidRPr="005849FB">
        <w:t>versus</w:t>
      </w:r>
    </w:p>
    <w:p w14:paraId="7D3956EA" w14:textId="7ABAC846" w:rsidR="005849FB" w:rsidRPr="005849FB" w:rsidRDefault="005849FB" w:rsidP="005849FB">
      <m:oMathPara>
        <m:oMath>
          <m:r>
            <w:rPr>
              <w:rFonts w:ascii="Cambria Math" w:hAnsi="Cambria Math"/>
            </w:rPr>
            <m:t>Experiment+Treatment</m:t>
          </m:r>
          <m:r>
            <w:br/>
          </m:r>
        </m:oMath>
      </m:oMathPara>
    </w:p>
    <w:p w14:paraId="1BC844CC" w14:textId="21E238F3" w:rsidR="005849FB" w:rsidRPr="005849FB" w:rsidRDefault="005849FB" w:rsidP="005849FB">
      <w:r w:rsidRPr="005849FB">
        <w:t xml:space="preserve">determines whether </w:t>
      </w:r>
      <w:r w:rsidR="007F1795">
        <w:t>T</w:t>
      </w:r>
      <w:r w:rsidRPr="005849FB">
        <w:t>reatment explains significant variation after accounting for experimental differences.</w:t>
      </w:r>
    </w:p>
    <w:p w14:paraId="6D040E43" w14:textId="13104296" w:rsidR="005849FB" w:rsidRPr="005849FB" w:rsidRDefault="005849FB" w:rsidP="005849FB">
      <w:r w:rsidRPr="005849FB">
        <w:t>Although nested model comparisons and Type III sums of squares use different statistical approaches, both address the same biological question</w:t>
      </w:r>
      <w:r w:rsidR="007F1795">
        <w:t xml:space="preserve"> and are often equivalent in certain designs</w:t>
      </w:r>
      <w:r w:rsidRPr="005849FB">
        <w:t>:</w:t>
      </w:r>
    </w:p>
    <w:p w14:paraId="4FA41D78" w14:textId="77777777" w:rsidR="005849FB" w:rsidRDefault="005849FB" w:rsidP="005849FB">
      <w:r w:rsidRPr="005849FB">
        <w:t>Does treatment significantly influence gene expression after accounting for experimental variation?</w:t>
      </w:r>
    </w:p>
    <w:p w14:paraId="00DF344B" w14:textId="77777777" w:rsidR="007F1795" w:rsidRDefault="007F1795" w:rsidP="005849FB"/>
    <w:p w14:paraId="41E2B420" w14:textId="7D643FEC" w:rsidR="007F1795" w:rsidRPr="005849FB" w:rsidRDefault="007F1795" w:rsidP="005849FB">
      <w:r>
        <w:lastRenderedPageBreak/>
        <w:t>Here we compare the full model (with the interaction effects) to a model without interaction effects and then further reduced modes to demonstrate that Treatment accounts for significant variation.</w:t>
      </w:r>
    </w:p>
    <w:p w14:paraId="3DA011A7" w14:textId="77777777" w:rsidR="005849FB" w:rsidRPr="005849FB" w:rsidRDefault="00000000" w:rsidP="005849FB">
      <w:r>
        <w:pict w14:anchorId="3CBE1D35">
          <v:rect id="_x0000_i1051" style="width:0;height:1.5pt" o:hralign="center" o:hrstd="t" o:hr="t" fillcolor="#a0a0a0" stroked="f"/>
        </w:pict>
      </w:r>
    </w:p>
    <w:p w14:paraId="40D21453" w14:textId="77777777" w:rsidR="005849FB" w:rsidRPr="005849FB" w:rsidRDefault="005849FB" w:rsidP="005849FB">
      <w:pPr>
        <w:rPr>
          <w:b/>
          <w:bCs/>
        </w:rPr>
      </w:pPr>
      <w:r w:rsidRPr="005849FB">
        <w:rPr>
          <w:b/>
          <w:bCs/>
        </w:rPr>
        <w:t>Summary</w:t>
      </w:r>
    </w:p>
    <w:p w14:paraId="56629A21" w14:textId="77777777" w:rsidR="005849FB" w:rsidRPr="005849FB" w:rsidRDefault="005849FB" w:rsidP="005849FB">
      <w:r w:rsidRPr="005849FB">
        <w:t>This workflow combines the strengths of both approaches:</w:t>
      </w:r>
    </w:p>
    <w:p w14:paraId="1FBFC5FF" w14:textId="77777777" w:rsidR="005849FB" w:rsidRPr="005849FB" w:rsidRDefault="005849FB" w:rsidP="005849FB">
      <w:pPr>
        <w:numPr>
          <w:ilvl w:val="0"/>
          <w:numId w:val="21"/>
        </w:numPr>
      </w:pPr>
      <w:r w:rsidRPr="005849FB">
        <w:t xml:space="preserve">The classical ΔΔCt method provides an intuitive and widely recognized visualization of expression differences. </w:t>
      </w:r>
    </w:p>
    <w:p w14:paraId="1B1B9198" w14:textId="6CFCF274" w:rsidR="005849FB" w:rsidRPr="005849FB" w:rsidRDefault="005849FB" w:rsidP="005849FB">
      <w:pPr>
        <w:numPr>
          <w:ilvl w:val="0"/>
          <w:numId w:val="21"/>
        </w:numPr>
      </w:pPr>
      <w:r w:rsidRPr="005849FB">
        <w:t>Linear modelling of ΔCt values provides statistically rigorous inference while accounting for experimental variation</w:t>
      </w:r>
      <w:r w:rsidR="007F1795">
        <w:t xml:space="preserve">, fully transparent reporting of all factors that </w:t>
      </w:r>
      <w:r w:rsidR="007F1795" w:rsidRPr="005849FB">
        <w:t>ΔΔCt</w:t>
      </w:r>
      <w:r w:rsidR="007F1795">
        <w:t xml:space="preserve"> cannot, and handling of more advanced treatment structures, such as a two-way factorial treatment structure (body part x treatment interaction)</w:t>
      </w:r>
      <w:r w:rsidRPr="005849FB">
        <w:t xml:space="preserve">. </w:t>
      </w:r>
    </w:p>
    <w:p w14:paraId="0BAD326A" w14:textId="0BED7177" w:rsidR="005849FB" w:rsidRPr="005849FB" w:rsidRDefault="00C40C63" w:rsidP="005849FB">
      <w:r>
        <w:t>T</w:t>
      </w:r>
      <w:r w:rsidR="005849FB" w:rsidRPr="005849FB">
        <w:t>his approach provides both biological interpretability and robust statistical analysis of RT-qPCR expression data.</w:t>
      </w:r>
    </w:p>
    <w:p w14:paraId="5ADCD7C8" w14:textId="77777777" w:rsidR="007C0323" w:rsidRDefault="007C0323"/>
    <w:sectPr w:rsidR="007C03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3E76"/>
    <w:multiLevelType w:val="multilevel"/>
    <w:tmpl w:val="CF6A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E2BA9"/>
    <w:multiLevelType w:val="multilevel"/>
    <w:tmpl w:val="5C26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51ECC"/>
    <w:multiLevelType w:val="multilevel"/>
    <w:tmpl w:val="5790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DD4E73"/>
    <w:multiLevelType w:val="multilevel"/>
    <w:tmpl w:val="8FDC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56CE5"/>
    <w:multiLevelType w:val="multilevel"/>
    <w:tmpl w:val="B622D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17357"/>
    <w:multiLevelType w:val="multilevel"/>
    <w:tmpl w:val="1D2EA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A1209"/>
    <w:multiLevelType w:val="multilevel"/>
    <w:tmpl w:val="48EE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DD2660"/>
    <w:multiLevelType w:val="multilevel"/>
    <w:tmpl w:val="C7F4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C63E0"/>
    <w:multiLevelType w:val="multilevel"/>
    <w:tmpl w:val="B1686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A2A19"/>
    <w:multiLevelType w:val="multilevel"/>
    <w:tmpl w:val="86D8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345C1C"/>
    <w:multiLevelType w:val="multilevel"/>
    <w:tmpl w:val="AE70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D605B"/>
    <w:multiLevelType w:val="multilevel"/>
    <w:tmpl w:val="98A80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8835AC"/>
    <w:multiLevelType w:val="multilevel"/>
    <w:tmpl w:val="8A9E4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535868"/>
    <w:multiLevelType w:val="multilevel"/>
    <w:tmpl w:val="8F20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4A4F29"/>
    <w:multiLevelType w:val="multilevel"/>
    <w:tmpl w:val="4184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5A74B0"/>
    <w:multiLevelType w:val="multilevel"/>
    <w:tmpl w:val="C2F4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FC36B1"/>
    <w:multiLevelType w:val="multilevel"/>
    <w:tmpl w:val="DB82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E38CA"/>
    <w:multiLevelType w:val="multilevel"/>
    <w:tmpl w:val="CFAC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B25498"/>
    <w:multiLevelType w:val="multilevel"/>
    <w:tmpl w:val="2714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911292"/>
    <w:multiLevelType w:val="multilevel"/>
    <w:tmpl w:val="2DEA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BE3281"/>
    <w:multiLevelType w:val="multilevel"/>
    <w:tmpl w:val="6FFC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283799">
    <w:abstractNumId w:val="20"/>
  </w:num>
  <w:num w:numId="2" w16cid:durableId="1922565329">
    <w:abstractNumId w:val="6"/>
  </w:num>
  <w:num w:numId="3" w16cid:durableId="1154763895">
    <w:abstractNumId w:val="16"/>
  </w:num>
  <w:num w:numId="4" w16cid:durableId="2094744220">
    <w:abstractNumId w:val="5"/>
  </w:num>
  <w:num w:numId="5" w16cid:durableId="1252356942">
    <w:abstractNumId w:val="4"/>
  </w:num>
  <w:num w:numId="6" w16cid:durableId="1051420688">
    <w:abstractNumId w:val="9"/>
  </w:num>
  <w:num w:numId="7" w16cid:durableId="142621515">
    <w:abstractNumId w:val="17"/>
  </w:num>
  <w:num w:numId="8" w16cid:durableId="155074344">
    <w:abstractNumId w:val="0"/>
  </w:num>
  <w:num w:numId="9" w16cid:durableId="1005323679">
    <w:abstractNumId w:val="12"/>
  </w:num>
  <w:num w:numId="10" w16cid:durableId="25757575">
    <w:abstractNumId w:val="14"/>
  </w:num>
  <w:num w:numId="11" w16cid:durableId="1374576918">
    <w:abstractNumId w:val="19"/>
  </w:num>
  <w:num w:numId="12" w16cid:durableId="1508325561">
    <w:abstractNumId w:val="8"/>
  </w:num>
  <w:num w:numId="13" w16cid:durableId="1169634504">
    <w:abstractNumId w:val="7"/>
  </w:num>
  <w:num w:numId="14" w16cid:durableId="1817718960">
    <w:abstractNumId w:val="2"/>
  </w:num>
  <w:num w:numId="15" w16cid:durableId="673342786">
    <w:abstractNumId w:val="15"/>
  </w:num>
  <w:num w:numId="16" w16cid:durableId="617176142">
    <w:abstractNumId w:val="13"/>
  </w:num>
  <w:num w:numId="17" w16cid:durableId="2092264653">
    <w:abstractNumId w:val="11"/>
  </w:num>
  <w:num w:numId="18" w16cid:durableId="324019602">
    <w:abstractNumId w:val="18"/>
  </w:num>
  <w:num w:numId="19" w16cid:durableId="503664663">
    <w:abstractNumId w:val="1"/>
  </w:num>
  <w:num w:numId="20" w16cid:durableId="587927317">
    <w:abstractNumId w:val="10"/>
  </w:num>
  <w:num w:numId="21" w16cid:durableId="92020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9FB"/>
    <w:rsid w:val="005849FB"/>
    <w:rsid w:val="00741590"/>
    <w:rsid w:val="007C0323"/>
    <w:rsid w:val="007F1795"/>
    <w:rsid w:val="00C40C63"/>
    <w:rsid w:val="00C80F52"/>
    <w:rsid w:val="00C853FA"/>
    <w:rsid w:val="00D7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5AF6A"/>
  <w15:chartTrackingRefBased/>
  <w15:docId w15:val="{4B1F3069-95DF-4D13-B275-F2434B4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4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9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9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9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9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9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9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4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4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49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9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49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9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9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1603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Shaffer</dc:creator>
  <cp:keywords/>
  <dc:description/>
  <cp:lastModifiedBy>Guilherme Tank</cp:lastModifiedBy>
  <cp:revision>2</cp:revision>
  <dcterms:created xsi:type="dcterms:W3CDTF">2026-07-21T20:22:00Z</dcterms:created>
  <dcterms:modified xsi:type="dcterms:W3CDTF">2026-08-03T12:58:00Z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2026-07-21T20:46:43Z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1fc9b6ca-bc3d-4e28-a540-0185cd948f2d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